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193"/>
      <w:bookmarkStart w:id="2" w:name="_Toc15396597"/>
      <w:bookmarkStart w:id="3" w:name="_Toc15396475"/>
      <w:bookmarkStart w:id="4" w:name="_Toc15378441"/>
      <w:bookmarkStart w:id="5" w:name="_Toc15377425"/>
      <w:r>
        <w:rPr>
          <w:rFonts w:hint="default" w:ascii="Times New Roman" w:hAnsi="Times New Roman" w:eastAsia="黑体" w:cs="Times New Roman"/>
          <w:color w:val="000000"/>
          <w:sz w:val="72"/>
          <w:szCs w:val="72"/>
        </w:rPr>
        <w:t>2020</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240" w:lineRule="atLeast"/>
        <w:jc w:val="center"/>
        <w:outlineLvl w:val="0"/>
        <w:rPr>
          <w:rFonts w:hint="default" w:ascii="Times New Roman" w:hAnsi="Times New Roman" w:eastAsia="方正小标宋简体" w:cs="Times New Roman"/>
          <w:color w:val="000000"/>
          <w:sz w:val="72"/>
          <w:szCs w:val="72"/>
        </w:rPr>
      </w:pPr>
      <w:bookmarkStart w:id="6" w:name="_Toc15396598"/>
      <w:bookmarkStart w:id="7" w:name="_Toc15378442"/>
      <w:bookmarkStart w:id="8" w:name="_Toc15377426"/>
      <w:bookmarkStart w:id="9" w:name="_Toc15396476"/>
      <w:bookmarkStart w:id="10" w:name="_Toc15377194"/>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rPr>
        <w:t>养老服务中心</w:t>
      </w:r>
      <w:r>
        <w:rPr>
          <w:rFonts w:hint="eastAsia" w:eastAsia="方正小标宋简体" w:cs="Times New Roman"/>
          <w:color w:val="000000"/>
          <w:sz w:val="72"/>
          <w:szCs w:val="72"/>
          <w:lang w:val="en-US" w:eastAsia="zh-CN"/>
        </w:rPr>
        <w:t xml:space="preserve">    单位</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cs="Times New Roman"/>
        </w:rPr>
      </w:pPr>
      <w:r>
        <w:rPr>
          <w:rFonts w:hint="default" w:ascii="Times New Roman" w:hAnsi="Times New Roman" w:cs="Times New Roman"/>
        </w:rPr>
        <w:t>公开时间：2021年9月10日</w:t>
      </w:r>
    </w:p>
    <w:p>
      <w:pPr>
        <w:rPr>
          <w:rFonts w:hint="default" w:ascii="Times New Roman" w:hAnsi="Times New Roman" w:cs="Times New Roman"/>
        </w:rPr>
      </w:pPr>
    </w:p>
    <w:p>
      <w:pPr>
        <w:pStyle w:val="10"/>
        <w:adjustRightInd w:val="0"/>
        <w:snapToGrid w:val="0"/>
        <w:spacing w:before="0"/>
        <w:jc w:val="both"/>
        <w:rPr>
          <w:rFonts w:hint="default" w:ascii="Times New Roman" w:hAnsi="Times New Roman" w:cs="Times New Roman"/>
          <w:sz w:val="32"/>
          <w:szCs w:val="32"/>
        </w:rPr>
      </w:pPr>
      <w:r>
        <w:rPr>
          <w:rFonts w:hint="default" w:ascii="Times New Roman" w:hAnsi="Times New Roman" w:cs="Times New Roman"/>
          <w:sz w:val="32"/>
          <w:szCs w:val="32"/>
        </w:rPr>
        <w:t>第一部分</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单位概况</w:t>
      </w:r>
    </w:p>
    <w:p>
      <w:pPr>
        <w:pStyle w:val="11"/>
        <w:numPr>
          <w:ilvl w:val="0"/>
          <w:numId w:val="1"/>
        </w:numPr>
        <w:adjustRightInd w:val="0"/>
        <w:snapToGrid w:val="0"/>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职能简介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1</w:t>
      </w:r>
    </w:p>
    <w:p>
      <w:pPr>
        <w:pStyle w:val="11"/>
        <w:numPr>
          <w:ilvl w:val="0"/>
          <w:numId w:val="0"/>
        </w:numPr>
        <w:adjustRightInd w:val="0"/>
        <w:snapToGrid w:val="0"/>
        <w:ind w:left="0" w:leftChars="0" w:firstLine="420" w:firstLineChars="15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二、2020年重点工作完成情况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1</w:t>
      </w:r>
    </w:p>
    <w:p>
      <w:pPr>
        <w:pStyle w:val="10"/>
        <w:adjustRightInd w:val="0"/>
        <w:snapToGrid w:val="0"/>
        <w:spacing w:before="0"/>
        <w:jc w:val="left"/>
        <w:rPr>
          <w:rFonts w:hint="default" w:ascii="Times New Roman" w:hAnsi="Times New Roman" w:cs="Times New Roman"/>
          <w:sz w:val="32"/>
          <w:szCs w:val="32"/>
        </w:rPr>
      </w:pPr>
      <w:r>
        <w:rPr>
          <w:rFonts w:hint="default" w:ascii="Times New Roman" w:hAnsi="Times New Roman" w:cs="Times New Roman"/>
          <w:sz w:val="32"/>
          <w:szCs w:val="32"/>
        </w:rPr>
        <w:t>第二部分 2020年度</w:t>
      </w:r>
      <w:r>
        <w:rPr>
          <w:rFonts w:hint="eastAsia" w:ascii="Times New Roman" w:hAnsi="Times New Roman" w:cs="Times New Roman"/>
          <w:sz w:val="32"/>
          <w:szCs w:val="32"/>
          <w:lang w:val="en-US" w:eastAsia="zh-CN"/>
        </w:rPr>
        <w:t>单位</w:t>
      </w:r>
      <w:r>
        <w:rPr>
          <w:rFonts w:hint="default" w:ascii="Times New Roman" w:hAnsi="Times New Roman" w:cs="Times New Roman"/>
          <w:sz w:val="32"/>
          <w:szCs w:val="32"/>
        </w:rPr>
        <w:t>决算情况说明</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一、收入支出决算总体情况说明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2</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二、收入决算情况说明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2</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三、支出决算情况说明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3</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四、财政拨款收入支出决算总体情况说明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4</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五、一般公共预算财政拨款支出决算情况说明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5</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六、一般公共预算财政拨款基本支出决算情况说明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7</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七、“三公”经费财政拨款支出决算情况说明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7</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八、政府性基金预算支出决算情况说明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9</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九、国有资本经营预算支出决算情况说明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9</w:t>
      </w:r>
    </w:p>
    <w:p>
      <w:pPr>
        <w:pStyle w:val="11"/>
        <w:adjustRightInd w:val="0"/>
        <w:snapToGrid w:val="0"/>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十、其他重要事项的情况说明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lang w:val="en-US" w:eastAsia="zh-CN"/>
        </w:rPr>
        <w:t>9</w:t>
      </w:r>
    </w:p>
    <w:p>
      <w:pPr>
        <w:pStyle w:val="10"/>
        <w:adjustRightInd w:val="0"/>
        <w:snapToGrid w:val="0"/>
        <w:spacing w:before="0"/>
        <w:jc w:val="both"/>
        <w:rPr>
          <w:rFonts w:hint="default" w:ascii="Times New Roman" w:hAnsi="Times New Roman" w:cs="Times New Roman"/>
          <w:sz w:val="32"/>
          <w:szCs w:val="32"/>
        </w:rPr>
      </w:pPr>
      <w:r>
        <w:rPr>
          <w:rFonts w:hint="default" w:ascii="Times New Roman" w:hAnsi="Times New Roman" w:cs="Times New Roman"/>
          <w:sz w:val="32"/>
          <w:szCs w:val="32"/>
        </w:rPr>
        <w:t>第三部分</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名词解释</w:t>
      </w:r>
    </w:p>
    <w:p>
      <w:pPr>
        <w:pStyle w:val="10"/>
        <w:adjustRightInd w:val="0"/>
        <w:snapToGrid w:val="0"/>
        <w:spacing w:before="0"/>
        <w:jc w:val="both"/>
        <w:rPr>
          <w:rFonts w:hint="default" w:ascii="Times New Roman" w:hAnsi="Times New Roman" w:cs="Times New Roman"/>
          <w:sz w:val="32"/>
          <w:szCs w:val="32"/>
        </w:rPr>
      </w:pPr>
      <w:r>
        <w:rPr>
          <w:rFonts w:hint="default" w:ascii="Times New Roman" w:hAnsi="Times New Roman" w:cs="Times New Roman"/>
          <w:sz w:val="32"/>
          <w:szCs w:val="32"/>
        </w:rPr>
        <w:t>第四部分</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附件</w:t>
      </w:r>
    </w:p>
    <w:p>
      <w:pPr>
        <w:pStyle w:val="10"/>
        <w:adjustRightInd w:val="0"/>
        <w:snapToGrid w:val="0"/>
        <w:spacing w:before="0"/>
        <w:jc w:val="both"/>
        <w:rPr>
          <w:rFonts w:hint="default" w:ascii="Times New Roman" w:hAnsi="Times New Roman" w:cs="Times New Roman"/>
          <w:sz w:val="32"/>
          <w:szCs w:val="32"/>
        </w:rPr>
      </w:pPr>
      <w:r>
        <w:rPr>
          <w:rFonts w:hint="default" w:ascii="Times New Roman" w:hAnsi="Times New Roman" w:cs="Times New Roman"/>
          <w:sz w:val="32"/>
          <w:szCs w:val="32"/>
        </w:rPr>
        <w:t>第五部分</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附表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一、收入支出决算总表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二、收入决算表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四、财政拨款收入支出决算总表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五、财政拨款支出决算明细表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六、一般公共预算财政拨款支出决算表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七、一般公共预算财政拨款支出决算明细表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八、一般公共预算财政拨款基本支出决算表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九、一般公共预算财政拨款项目支出决算表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十、一般公共预算财政拨款“三公”经费支出决算表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十一、政府性基金预算财政拨款收入支出决算表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十二、政府性基金预算财政拨款“三公”经费支出决算表</w:t>
      </w:r>
    </w:p>
    <w:p>
      <w:pPr>
        <w:pStyle w:val="11"/>
        <w:adjustRightInd w:val="0"/>
        <w:snapToGrid w:val="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十三、国有资本经营预算财政拨款收入支出决算表</w:t>
      </w:r>
    </w:p>
    <w:p>
      <w:pPr>
        <w:pStyle w:val="11"/>
        <w:adjustRightInd w:val="0"/>
        <w:snapToGrid w:val="0"/>
        <w:jc w:val="left"/>
        <w:rPr>
          <w:rFonts w:hint="default" w:ascii="Times New Roman" w:hAnsi="Times New Roman" w:cs="Times New Roman"/>
          <w:sz w:val="24"/>
        </w:rPr>
      </w:pPr>
      <w:r>
        <w:rPr>
          <w:rFonts w:hint="default" w:ascii="Times New Roman" w:hAnsi="Times New Roman" w:eastAsia="仿宋" w:cs="Times New Roman"/>
          <w:sz w:val="28"/>
          <w:szCs w:val="28"/>
        </w:rPr>
        <w:t>十四、国有资本经营预算财政拨款支出决算表</w:t>
      </w:r>
    </w:p>
    <w:p>
      <w:pPr>
        <w:pStyle w:val="3"/>
        <w:jc w:val="center"/>
        <w:rPr>
          <w:rFonts w:hint="default" w:ascii="Times New Roman" w:hAnsi="Times New Roman" w:eastAsia="黑体" w:cs="Times New Roman"/>
          <w:b w:val="0"/>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pPr>
      <w:bookmarkStart w:id="12" w:name="_Toc15377196"/>
      <w:bookmarkStart w:id="13" w:name="_Toc15396599"/>
    </w:p>
    <w:p>
      <w:pPr>
        <w:pStyle w:val="3"/>
        <w:jc w:val="center"/>
        <w:rPr>
          <w:rStyle w:val="17"/>
          <w:rFonts w:hint="default" w:ascii="Times New Roman" w:hAnsi="Times New Roman" w:eastAsia="黑体" w:cs="Times New Roman"/>
          <w:b/>
          <w:bCs w:val="0"/>
        </w:rPr>
      </w:pPr>
      <w:r>
        <w:rPr>
          <w:rFonts w:hint="default" w:ascii="Times New Roman" w:hAnsi="Times New Roman" w:eastAsia="黑体" w:cs="Times New Roman"/>
          <w:b w:val="0"/>
        </w:rPr>
        <w:t>第一部分 单位</w:t>
      </w:r>
      <w:r>
        <w:rPr>
          <w:rStyle w:val="17"/>
          <w:rFonts w:hint="default" w:ascii="Times New Roman" w:hAnsi="Times New Roman" w:eastAsia="黑体" w:cs="Times New Roman"/>
          <w:b w:val="0"/>
          <w:bCs w:val="0"/>
        </w:rPr>
        <w:t>概况</w:t>
      </w:r>
      <w:bookmarkEnd w:id="12"/>
      <w:bookmarkEnd w:id="13"/>
    </w:p>
    <w:p>
      <w:pPr>
        <w:pStyle w:val="4"/>
        <w:numPr>
          <w:ilvl w:val="0"/>
          <w:numId w:val="2"/>
        </w:numPr>
        <w:rPr>
          <w:rStyle w:val="26"/>
          <w:rFonts w:hint="default" w:ascii="Times New Roman" w:hAnsi="Times New Roman" w:eastAsia="黑体" w:cs="Times New Roman"/>
          <w:b w:val="0"/>
          <w:bCs w:val="0"/>
          <w:color w:val="000000" w:themeColor="text1"/>
          <w14:textFill>
            <w14:solidFill>
              <w14:schemeClr w14:val="tx1"/>
            </w14:solidFill>
          </w14:textFill>
        </w:rPr>
      </w:pPr>
      <w:bookmarkStart w:id="14" w:name="_Toc15377197"/>
      <w:bookmarkStart w:id="15" w:name="_Toc15396600"/>
      <w:r>
        <w:rPr>
          <w:rStyle w:val="26"/>
          <w:rFonts w:hint="default" w:ascii="Times New Roman" w:hAnsi="Times New Roman" w:eastAsia="黑体" w:cs="Times New Roman"/>
          <w:b w:val="0"/>
          <w:bCs w:val="0"/>
          <w:color w:val="000000" w:themeColor="text1"/>
          <w14:textFill>
            <w14:solidFill>
              <w14:schemeClr w14:val="tx1"/>
            </w14:solidFill>
          </w14:textFill>
        </w:rPr>
        <w:t>职能简介</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四川省养老服务中心提供养老、康复服务，组织开展养老服务实训示范等工作</w:t>
      </w:r>
    </w:p>
    <w:p>
      <w:pPr>
        <w:pStyle w:val="4"/>
        <w:ind w:firstLine="640" w:firstLineChars="200"/>
        <w:rPr>
          <w:rFonts w:hint="default" w:ascii="Times New Roman" w:hAnsi="Times New Roman" w:eastAsia="黑体" w:cs="Times New Roman"/>
          <w:b w:val="0"/>
          <w:color w:val="000000" w:themeColor="text1"/>
          <w14:textFill>
            <w14:solidFill>
              <w14:schemeClr w14:val="tx1"/>
            </w14:solidFill>
          </w14:textFill>
        </w:rPr>
      </w:pPr>
      <w:r>
        <w:rPr>
          <w:rFonts w:hint="default" w:ascii="Times New Roman" w:hAnsi="Times New Roman" w:eastAsia="黑体" w:cs="Times New Roman"/>
          <w:b w:val="0"/>
          <w:color w:val="000000" w:themeColor="text1"/>
          <w14:textFill>
            <w14:solidFill>
              <w14:schemeClr w14:val="tx1"/>
            </w14:solidFill>
          </w14:textFill>
        </w:rPr>
        <w:t>二2020年重点工作</w:t>
      </w:r>
      <w:bookmarkEnd w:id="14"/>
      <w:bookmarkEnd w:id="15"/>
      <w:r>
        <w:rPr>
          <w:rFonts w:hint="default" w:ascii="Times New Roman" w:hAnsi="Times New Roman" w:eastAsia="黑体" w:cs="Times New Roman"/>
          <w:b w:val="0"/>
          <w:color w:val="000000" w:themeColor="text1"/>
          <w14:textFill>
            <w14:solidFill>
              <w14:schemeClr w14:val="tx1"/>
            </w14:solidFill>
          </w14:textFill>
        </w:rPr>
        <w:t>完成情况</w:t>
      </w:r>
    </w:p>
    <w:p>
      <w:pPr>
        <w:widowControl/>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2020年在厅党组的坚强领导下、相关处室的指导下，省养老服务中心以习近平新时代中国特色社会主义思想为指导，进一步统一思想、提高认识、凝聚力量，助力项目建设成为“产、学、研”一体的省级综合性养老示范项目，加速推进养老服务事业取的新进展。一是坚持人民生命至上，全力抓好疫情防控；二是对标先进党组织，补齐党建工作短板；三是完成机构编制审批，强化单位内部管理；四是做好项目基建收尾，谋划确定运营方案；五是杜绝安全生产事故，强化应急保障措施；六是坚决打赢脱贫攻坚战，确保帮扶工作见成效。</w:t>
      </w:r>
      <w:r>
        <w:rPr>
          <w:rFonts w:hint="default" w:ascii="Times New Roman" w:hAnsi="Times New Roman" w:eastAsia="仿宋" w:cs="Times New Roman"/>
          <w:color w:val="000000"/>
          <w:sz w:val="32"/>
          <w:szCs w:val="32"/>
        </w:rPr>
        <w:br w:type="page"/>
      </w:r>
    </w:p>
    <w:p>
      <w:pPr>
        <w:pStyle w:val="3"/>
        <w:ind w:right="440"/>
        <w:jc w:val="center"/>
        <w:rPr>
          <w:rStyle w:val="17"/>
          <w:rFonts w:hint="default" w:ascii="Times New Roman" w:hAnsi="Times New Roman" w:eastAsia="黑体" w:cs="Times New Roman"/>
          <w:b w:val="0"/>
          <w:bCs/>
        </w:rPr>
      </w:pPr>
      <w:bookmarkStart w:id="16" w:name="_Toc15377204"/>
      <w:bookmarkStart w:id="17" w:name="_Toc15396602"/>
      <w:r>
        <w:rPr>
          <w:rFonts w:hint="default" w:ascii="Times New Roman" w:hAnsi="Times New Roman" w:eastAsia="黑体" w:cs="Times New Roman"/>
          <w:b w:val="0"/>
        </w:rPr>
        <w:t>第二部分 2020年度</w:t>
      </w:r>
      <w:r>
        <w:rPr>
          <w:rFonts w:hint="eastAsia" w:eastAsia="黑体" w:cs="Times New Roman"/>
          <w:b w:val="0"/>
          <w:lang w:val="en-US" w:eastAsia="zh-CN"/>
        </w:rPr>
        <w:t>单位</w:t>
      </w:r>
      <w:r>
        <w:rPr>
          <w:rStyle w:val="17"/>
          <w:rFonts w:hint="default" w:ascii="Times New Roman" w:hAnsi="Times New Roman" w:eastAsia="黑体" w:cs="Times New Roman"/>
          <w:b w:val="0"/>
          <w:bCs/>
        </w:rPr>
        <w:t>决算情况说明</w:t>
      </w:r>
      <w:bookmarkEnd w:id="16"/>
      <w:bookmarkEnd w:id="17"/>
    </w:p>
    <w:p>
      <w:pPr>
        <w:rPr>
          <w:rFonts w:hint="default" w:ascii="Times New Roman" w:hAnsi="Times New Roman" w:cs="Times New Roman"/>
        </w:rPr>
      </w:pPr>
    </w:p>
    <w:p>
      <w:pPr>
        <w:pStyle w:val="25"/>
        <w:numPr>
          <w:ilvl w:val="0"/>
          <w:numId w:val="3"/>
        </w:numPr>
        <w:spacing w:line="600" w:lineRule="exact"/>
        <w:ind w:firstLineChars="0"/>
        <w:outlineLvl w:val="1"/>
        <w:rPr>
          <w:rStyle w:val="26"/>
          <w:rFonts w:hint="default" w:ascii="Times New Roman" w:hAnsi="Times New Roman" w:eastAsia="黑体" w:cs="Times New Roman"/>
          <w:b w:val="0"/>
        </w:rPr>
      </w:pPr>
      <w:bookmarkStart w:id="18" w:name="_Toc15396603"/>
      <w:bookmarkStart w:id="19" w:name="_Toc15377205"/>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入支出决算总体情况说明</w:t>
      </w:r>
      <w:bookmarkEnd w:id="18"/>
      <w:bookmarkEnd w:id="19"/>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2020年度收、支总计1374.05万元。与2019年相比，收、支总计各减少1781.17万元，下降56.45%。主要变动原因：一是2019年项目竣工完成，后续项目支出减少，二是</w:t>
      </w:r>
      <w:r>
        <w:rPr>
          <w:rFonts w:hint="default" w:ascii="Times New Roman" w:hAnsi="Times New Roman" w:eastAsia="仿宋_GB2312" w:cs="Times New Roman"/>
          <w:sz w:val="32"/>
          <w:szCs w:val="32"/>
        </w:rPr>
        <w:t>按照厉行节约的原则压减当年支出</w:t>
      </w:r>
      <w:r>
        <w:rPr>
          <w:rFonts w:hint="default" w:ascii="Times New Roman" w:hAnsi="Times New Roman" w:eastAsia="仿宋" w:cs="Times New Roman"/>
          <w:color w:val="000000"/>
          <w:sz w:val="32"/>
          <w:szCs w:val="32"/>
        </w:rPr>
        <w:t>。</w:t>
      </w:r>
    </w:p>
    <w:p>
      <w:pPr>
        <w:pStyle w:val="8"/>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（图1：收、支决算总计变动情况图）</w:t>
      </w:r>
    </w:p>
    <w:p>
      <w:pPr>
        <w:pStyle w:val="2"/>
        <w:spacing w:before="93"/>
        <w:rPr>
          <w:rFonts w:hint="default" w:ascii="Times New Roman" w:hAnsi="Times New Roman" w:cs="Times New Roman"/>
        </w:rPr>
      </w:pPr>
    </w:p>
    <w:p>
      <w:pPr>
        <w:pStyle w:val="25"/>
        <w:numPr>
          <w:ilvl w:val="0"/>
          <w:numId w:val="3"/>
        </w:numPr>
        <w:spacing w:line="600" w:lineRule="exact"/>
        <w:ind w:firstLineChars="0"/>
        <w:outlineLvl w:val="1"/>
        <w:rPr>
          <w:rStyle w:val="26"/>
          <w:rFonts w:hint="default" w:ascii="Times New Roman" w:hAnsi="Times New Roman" w:eastAsia="黑体" w:cs="Times New Roman"/>
          <w:b w:val="0"/>
        </w:rPr>
      </w:pPr>
      <w:bookmarkStart w:id="20" w:name="_Toc15396604"/>
      <w:bookmarkStart w:id="21" w:name="_Toc15377206"/>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入决算情况说明</w:t>
      </w:r>
      <w:bookmarkEnd w:id="20"/>
      <w:bookmarkEnd w:id="21"/>
    </w:p>
    <w:p>
      <w:pPr>
        <w:spacing w:line="600" w:lineRule="exact"/>
        <w:ind w:firstLine="640" w:firstLineChars="200"/>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2020年本年收入合计1374.05万元，其中：一般公共预算财政拨款收入84.86万元，占6.18%；政府性基金预算财政拨款收入1288.78万元，占93.79%；</w:t>
      </w:r>
      <w:r>
        <w:rPr>
          <w:rFonts w:hint="default" w:ascii="Times New Roman" w:hAnsi="Times New Roman" w:eastAsia="仿宋" w:cs="Times New Roman"/>
          <w:color w:val="000000" w:themeColor="text1"/>
          <w:sz w:val="32"/>
          <w:szCs w:val="32"/>
          <w14:textFill>
            <w14:solidFill>
              <w14:schemeClr w14:val="tx1"/>
            </w14:solidFill>
          </w14:textFill>
        </w:rPr>
        <w:t>上级补助收入0</w:t>
      </w:r>
      <w:r>
        <w:rPr>
          <w:rFonts w:hint="default" w:ascii="Times New Roman" w:hAnsi="Times New Roman" w:eastAsia="仿宋" w:cs="Times New Roman"/>
          <w:color w:val="000000"/>
          <w:sz w:val="32"/>
          <w:szCs w:val="32"/>
        </w:rPr>
        <w:t>万元，占0%；事业收入0万元，占0%；经营收入0万元，占0%；附属单位上缴收入0万元，占0%；其他收入0.41万元，占0.03%。</w:t>
      </w:r>
    </w:p>
    <w:p>
      <w:pPr>
        <w:spacing w:line="600" w:lineRule="exact"/>
        <w:rPr>
          <w:rFonts w:hint="default" w:ascii="Times New Roman" w:hAnsi="Times New Roman" w:eastAsia="仿宋" w:cs="Times New Roman"/>
          <w:color w:val="000000" w:themeColor="text1"/>
          <w:sz w:val="32"/>
          <w:szCs w:val="32"/>
          <w14:textFill>
            <w14:solidFill>
              <w14:schemeClr w14:val="tx1"/>
            </w14:solidFill>
          </w14:textFill>
        </w:rPr>
      </w:pPr>
    </w:p>
    <w:p>
      <w:pPr>
        <w:pStyle w:val="2"/>
        <w:spacing w:before="93"/>
        <w:rPr>
          <w:rFonts w:hint="default" w:ascii="Times New Roman" w:hAnsi="Times New Roman" w:cs="Times New Roman"/>
        </w:rPr>
      </w:pPr>
      <w:r>
        <w:rPr>
          <w:rFonts w:hint="default" w:ascii="Times New Roman" w:hAnsi="Times New Roman" w:cs="Times New Roman"/>
          <w:color w:val="FF0000"/>
          <w:sz w:val="32"/>
          <w:szCs w:val="32"/>
        </w:rPr>
        <w:drawing>
          <wp:inline distT="0" distB="0" distL="0" distR="0">
            <wp:extent cx="5324475" cy="1906905"/>
            <wp:effectExtent l="4445" t="4445" r="5080" b="889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ind w:firstLine="2240" w:firstLineChars="700"/>
        <w:rPr>
          <w:rFonts w:hint="default" w:ascii="Times New Roman" w:hAnsi="Times New Roman" w:cs="Times New Roman"/>
        </w:rPr>
      </w:pPr>
      <w:r>
        <w:rPr>
          <w:rFonts w:hint="default" w:ascii="Times New Roman" w:hAnsi="Times New Roman" w:eastAsia="仿宋" w:cs="Times New Roman"/>
          <w:color w:val="000000" w:themeColor="text1"/>
          <w:sz w:val="32"/>
          <w:szCs w:val="32"/>
          <w14:textFill>
            <w14:solidFill>
              <w14:schemeClr w14:val="tx1"/>
            </w14:solidFill>
          </w14:textFill>
        </w:rPr>
        <w:t>（图2：收入决算结构图）</w:t>
      </w:r>
    </w:p>
    <w:p>
      <w:pPr>
        <w:spacing w:line="600" w:lineRule="exact"/>
        <w:ind w:firstLine="640" w:firstLineChars="200"/>
        <w:rPr>
          <w:rFonts w:hint="default" w:ascii="Times New Roman" w:hAnsi="Times New Roman" w:eastAsia="仿宋_GB2312" w:cs="Times New Roman"/>
          <w:color w:val="FF0000"/>
          <w:sz w:val="32"/>
          <w:szCs w:val="32"/>
        </w:rPr>
      </w:pPr>
    </w:p>
    <w:p>
      <w:pPr>
        <w:pStyle w:val="25"/>
        <w:numPr>
          <w:ilvl w:val="0"/>
          <w:numId w:val="3"/>
        </w:numPr>
        <w:spacing w:line="600" w:lineRule="exact"/>
        <w:ind w:firstLineChars="0"/>
        <w:outlineLvl w:val="1"/>
        <w:rPr>
          <w:rStyle w:val="26"/>
          <w:rFonts w:hint="default" w:ascii="Times New Roman" w:hAnsi="Times New Roman" w:eastAsia="黑体" w:cs="Times New Roman"/>
          <w:b w:val="0"/>
          <w:color w:val="000000" w:themeColor="text1"/>
          <w14:textFill>
            <w14:solidFill>
              <w14:schemeClr w14:val="tx1"/>
            </w14:solidFill>
          </w14:textFill>
        </w:rPr>
      </w:pPr>
      <w:bookmarkStart w:id="22" w:name="_Toc15377207"/>
      <w:bookmarkStart w:id="23" w:name="_Toc15396605"/>
      <w:r>
        <w:rPr>
          <w:rFonts w:hint="default" w:ascii="Times New Roman" w:hAnsi="Times New Roman" w:eastAsia="黑体" w:cs="Times New Roman"/>
          <w:color w:val="000000" w:themeColor="text1"/>
          <w:sz w:val="32"/>
          <w:szCs w:val="32"/>
          <w14:textFill>
            <w14:solidFill>
              <w14:schemeClr w14:val="tx1"/>
            </w14:solidFill>
          </w14:textFill>
        </w:rPr>
        <w:t>支</w:t>
      </w:r>
      <w:r>
        <w:rPr>
          <w:rStyle w:val="26"/>
          <w:rFonts w:hint="default" w:ascii="Times New Roman" w:hAnsi="Times New Roman" w:eastAsia="黑体" w:cs="Times New Roman"/>
          <w:b w:val="0"/>
          <w:color w:val="000000" w:themeColor="text1"/>
          <w14:textFill>
            <w14:solidFill>
              <w14:schemeClr w14:val="tx1"/>
            </w14:solidFill>
          </w14:textFill>
        </w:rPr>
        <w:t>出决算情况说明</w:t>
      </w:r>
      <w:bookmarkEnd w:id="22"/>
      <w:bookmarkEnd w:id="23"/>
    </w:p>
    <w:p>
      <w:pPr>
        <w:spacing w:line="600" w:lineRule="exact"/>
        <w:ind w:firstLine="640" w:firstLineChars="200"/>
        <w:outlineLvl w:val="1"/>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2020年本年支出合计1374.04万元，其中：基本支出66.11万元，占4.81%；项目支出1307.92万元，占95.19%；上缴上级支出0万元，占0%；经营支出0万元，占0%；对附属单位补助支出0万元，占0%。</w:t>
      </w: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r>
        <w:rPr>
          <w:rFonts w:hint="default" w:ascii="Times New Roman" w:hAnsi="Times New Roman" w:eastAsia="仿宋" w:cs="Times New Roman"/>
          <w:color w:val="000000"/>
          <w:sz w:val="32"/>
          <w:szCs w:val="32"/>
          <w:shd w:val="pct10" w:color="auto" w:fill="FFFFFF"/>
        </w:rPr>
        <w:drawing>
          <wp:inline distT="0" distB="0" distL="0" distR="0">
            <wp:extent cx="5210175" cy="1847850"/>
            <wp:effectExtent l="0" t="0" r="9525"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920" w:firstLineChars="6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6"/>
          <w:rFonts w:hint="default" w:ascii="Times New Roman" w:hAnsi="Times New Roman" w:eastAsia="黑体" w:cs="Times New Roman"/>
          <w:b w:val="0"/>
        </w:rPr>
      </w:pPr>
      <w:bookmarkStart w:id="24" w:name="_Toc15396606"/>
      <w:bookmarkStart w:id="25" w:name="_Toc15377208"/>
      <w:r>
        <w:rPr>
          <w:rFonts w:hint="default" w:ascii="Times New Roman" w:hAnsi="Times New Roman" w:eastAsia="黑体" w:cs="Times New Roman"/>
          <w:color w:val="000000"/>
          <w:sz w:val="32"/>
          <w:szCs w:val="32"/>
        </w:rPr>
        <w:t>四、财</w:t>
      </w:r>
      <w:r>
        <w:rPr>
          <w:rStyle w:val="26"/>
          <w:rFonts w:hint="default" w:ascii="Times New Roman" w:hAnsi="Times New Roman" w:eastAsia="黑体" w:cs="Times New Roman"/>
          <w:b w:val="0"/>
        </w:rPr>
        <w:t>政拨款收入支出决算总体情况说明</w:t>
      </w:r>
      <w:bookmarkEnd w:id="24"/>
      <w:bookmarkEnd w:id="25"/>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2020年财政拨款收、支总计1373.64万元。与2019年相比，财政拨款收、支总计各减少1781.25万元，下降56.46%。主要变动原因：一是2019年项目竣工完成，后续项目支出减少，二是</w:t>
      </w:r>
      <w:r>
        <w:rPr>
          <w:rFonts w:hint="default" w:ascii="Times New Roman" w:hAnsi="Times New Roman" w:eastAsia="仿宋_GB2312" w:cs="Times New Roman"/>
          <w:sz w:val="32"/>
          <w:szCs w:val="32"/>
        </w:rPr>
        <w:t>按照厉行节约的原则压减当年支出</w:t>
      </w:r>
      <w:r>
        <w:rPr>
          <w:rFonts w:hint="default" w:ascii="Times New Roman" w:hAnsi="Times New Roman" w:eastAsia="仿宋" w:cs="Times New Roman"/>
          <w:color w:val="000000"/>
          <w:sz w:val="32"/>
          <w:szCs w:val="32"/>
        </w:rPr>
        <w:t>。</w:t>
      </w: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0" t="0" r="2159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（图4：财政拨款收、支决算总计变动情况）</w:t>
      </w:r>
    </w:p>
    <w:p>
      <w:pPr>
        <w:spacing w:line="600" w:lineRule="exact"/>
        <w:ind w:firstLine="640"/>
        <w:rPr>
          <w:rFonts w:hint="default" w:ascii="Times New Roman" w:hAnsi="Times New Roman" w:eastAsia="仿宋" w:cs="Times New Roman"/>
          <w:b/>
          <w:color w:val="00B050"/>
          <w:sz w:val="32"/>
          <w:szCs w:val="32"/>
        </w:rPr>
      </w:pPr>
    </w:p>
    <w:p>
      <w:pPr>
        <w:spacing w:line="600" w:lineRule="exact"/>
        <w:ind w:firstLine="640" w:firstLineChars="200"/>
        <w:outlineLvl w:val="1"/>
        <w:rPr>
          <w:rStyle w:val="26"/>
          <w:rFonts w:hint="default" w:ascii="Times New Roman" w:hAnsi="Times New Roman" w:eastAsia="黑体" w:cs="Times New Roman"/>
          <w:b w:val="0"/>
        </w:rPr>
      </w:pPr>
      <w:bookmarkStart w:id="26" w:name="_Toc15377209"/>
      <w:bookmarkStart w:id="27" w:name="_Toc15396607"/>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26"/>
          <w:rFonts w:hint="default" w:ascii="Times New Roman" w:hAnsi="Times New Roman" w:eastAsia="黑体" w:cs="Times New Roman"/>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 w:cs="Times New Roman"/>
          <w:b/>
          <w:color w:val="000000"/>
          <w:sz w:val="32"/>
          <w:szCs w:val="32"/>
        </w:rPr>
      </w:pPr>
      <w:bookmarkStart w:id="28" w:name="_Toc15377210"/>
      <w:r>
        <w:rPr>
          <w:rFonts w:hint="default" w:ascii="Times New Roman" w:hAnsi="Times New Roman" w:eastAsia="仿宋" w:cs="Times New Roman"/>
          <w:b/>
          <w:color w:val="000000"/>
          <w:sz w:val="32"/>
          <w:szCs w:val="32"/>
        </w:rPr>
        <w:t>（一）一般公共预算财政拨款支出决算总体情况</w:t>
      </w:r>
      <w:bookmarkEnd w:id="28"/>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2020年一般公共预算财政拨款支出84.86万元，占本年支出合计的6.18%。与2019年相比，一般公共预算财政拨款减少5.41万元，下降5.99%。主要变动原因是</w:t>
      </w:r>
      <w:r>
        <w:rPr>
          <w:rFonts w:hint="default" w:ascii="Times New Roman" w:hAnsi="Times New Roman" w:eastAsia="仿宋_GB2312" w:cs="Times New Roman"/>
          <w:sz w:val="32"/>
          <w:szCs w:val="32"/>
        </w:rPr>
        <w:t>本着厉行节约的原则压减。</w:t>
      </w:r>
    </w:p>
    <w:p>
      <w:pPr>
        <w:pStyle w:val="2"/>
        <w:spacing w:before="93"/>
        <w:rPr>
          <w:rFonts w:hint="default" w:ascii="Times New Roman" w:hAnsi="Times New Roman" w:cs="Times New Roman"/>
        </w:rPr>
      </w:pPr>
      <w:r>
        <w:rPr>
          <w:rFonts w:hint="default" w:ascii="Times New Roman" w:hAnsi="Times New Roman" w:eastAsia="仿宋" w:cs="Times New Roman"/>
          <w:color w:val="000000"/>
          <w:sz w:val="32"/>
          <w:szCs w:val="32"/>
        </w:rPr>
        <w:drawing>
          <wp:inline distT="0" distB="0" distL="0" distR="0">
            <wp:extent cx="5267325" cy="2705100"/>
            <wp:effectExtent l="4445" t="4445" r="16510" b="184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29" w:name="_Toc15377211"/>
      <w:r>
        <w:rPr>
          <w:rFonts w:hint="default" w:ascii="Times New Roman" w:hAnsi="Times New Roman" w:eastAsia="仿宋" w:cs="Times New Roman"/>
          <w:b/>
          <w:color w:val="000000"/>
          <w:sz w:val="32"/>
          <w:szCs w:val="32"/>
        </w:rPr>
        <w:t>（二）一般公共预算财政拨款支出决算结构情况</w:t>
      </w:r>
      <w:bookmarkEnd w:id="29"/>
    </w:p>
    <w:p>
      <w:pPr>
        <w:spacing w:line="600" w:lineRule="exact"/>
        <w:ind w:firstLine="64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2020年一般公共预算财</w:t>
      </w:r>
      <w:r>
        <w:rPr>
          <w:rFonts w:hint="default" w:ascii="Times New Roman" w:hAnsi="Times New Roman" w:eastAsia="仿宋" w:cs="Times New Roman"/>
          <w:color w:val="000000" w:themeColor="text1"/>
          <w:sz w:val="32"/>
          <w:szCs w:val="32"/>
          <w14:textFill>
            <w14:solidFill>
              <w14:schemeClr w14:val="tx1"/>
            </w14:solidFill>
          </w14:textFill>
        </w:rPr>
        <w:t>政拨款支出84.86万元，主要用于以下方面:</w:t>
      </w:r>
      <w:r>
        <w:rPr>
          <w:rFonts w:hint="default" w:ascii="Times New Roman" w:hAnsi="Times New Roman" w:eastAsia="仿宋" w:cs="Times New Roman"/>
          <w:b/>
          <w:color w:val="000000" w:themeColor="text1"/>
          <w:sz w:val="32"/>
          <w:szCs w:val="32"/>
          <w14:textFill>
            <w14:solidFill>
              <w14:schemeClr w14:val="tx1"/>
            </w14:solidFill>
          </w14:textFill>
        </w:rPr>
        <w:t>教育支出（类）</w:t>
      </w:r>
      <w:r>
        <w:rPr>
          <w:rFonts w:hint="default" w:ascii="Times New Roman" w:hAnsi="Times New Roman" w:eastAsia="仿宋" w:cs="Times New Roman"/>
          <w:color w:val="000000" w:themeColor="text1"/>
          <w:sz w:val="32"/>
          <w:szCs w:val="32"/>
          <w14:textFill>
            <w14:solidFill>
              <w14:schemeClr w14:val="tx1"/>
            </w14:solidFill>
          </w14:textFill>
        </w:rPr>
        <w:t>0.07万元，占0.08%；</w:t>
      </w:r>
      <w:r>
        <w:rPr>
          <w:rFonts w:hint="default" w:ascii="Times New Roman" w:hAnsi="Times New Roman" w:eastAsia="仿宋" w:cs="Times New Roman"/>
          <w:b/>
          <w:color w:val="000000" w:themeColor="text1"/>
          <w:sz w:val="32"/>
          <w:szCs w:val="32"/>
          <w14:textFill>
            <w14:solidFill>
              <w14:schemeClr w14:val="tx1"/>
            </w14:solidFill>
          </w14:textFill>
        </w:rPr>
        <w:t>社会保障和就业</w:t>
      </w:r>
      <w:r>
        <w:rPr>
          <w:rFonts w:hint="default" w:ascii="Times New Roman" w:hAnsi="Times New Roman" w:eastAsia="仿宋" w:cs="Times New Roman"/>
          <w:b/>
          <w:bCs/>
          <w:color w:val="000000" w:themeColor="text1"/>
          <w:sz w:val="32"/>
          <w:szCs w:val="32"/>
          <w14:textFill>
            <w14:solidFill>
              <w14:schemeClr w14:val="tx1"/>
            </w14:solidFill>
          </w14:textFill>
        </w:rPr>
        <w:t>支出</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76.66万元，占90.34%；</w:t>
      </w:r>
      <w:r>
        <w:rPr>
          <w:rFonts w:hint="default" w:ascii="Times New Roman" w:hAnsi="Times New Roman" w:eastAsia="仿宋" w:cs="Times New Roman"/>
          <w:b/>
          <w:bCs/>
          <w:color w:val="000000" w:themeColor="text1"/>
          <w:sz w:val="32"/>
          <w:szCs w:val="32"/>
          <w14:textFill>
            <w14:solidFill>
              <w14:schemeClr w14:val="tx1"/>
            </w14:solidFill>
          </w14:textFill>
        </w:rPr>
        <w:t>卫生健康支出</w:t>
      </w:r>
      <w:r>
        <w:rPr>
          <w:rFonts w:hint="default" w:ascii="Times New Roman" w:hAnsi="Times New Roman" w:eastAsia="仿宋" w:cs="Times New Roman"/>
          <w:color w:val="000000" w:themeColor="text1"/>
          <w:sz w:val="32"/>
          <w:szCs w:val="32"/>
          <w14:textFill>
            <w14:solidFill>
              <w14:schemeClr w14:val="tx1"/>
            </w14:solidFill>
          </w14:textFill>
        </w:rPr>
        <w:t>3.92万元，占4.62%；</w:t>
      </w:r>
      <w:r>
        <w:rPr>
          <w:rFonts w:hint="default" w:ascii="Times New Roman" w:hAnsi="Times New Roman" w:eastAsia="仿宋" w:cs="Times New Roman"/>
          <w:b/>
          <w:bCs/>
          <w:color w:val="000000" w:themeColor="text1"/>
          <w:sz w:val="32"/>
          <w:szCs w:val="32"/>
          <w14:textFill>
            <w14:solidFill>
              <w14:schemeClr w14:val="tx1"/>
            </w14:solidFill>
          </w14:textFill>
        </w:rPr>
        <w:t>住房保障支出</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4.21万元，占4.96%。</w:t>
      </w:r>
    </w:p>
    <w:p>
      <w:pPr>
        <w:spacing w:line="600" w:lineRule="exact"/>
        <w:rPr>
          <w:rFonts w:hint="default" w:ascii="Times New Roman" w:hAnsi="Times New Roman" w:eastAsia="仿宋" w:cs="Times New Roman"/>
          <w:b/>
          <w:color w:val="000000" w:themeColor="text1"/>
          <w:sz w:val="32"/>
          <w:szCs w:val="32"/>
          <w14:textFill>
            <w14:solidFill>
              <w14:schemeClr w14:val="tx1"/>
            </w14:solidFill>
          </w14:textFill>
        </w:rPr>
      </w:pP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448300" cy="2557145"/>
            <wp:effectExtent l="4445" t="4445" r="1841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960" w:firstLineChars="3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w:t>
      </w: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0" w:name="_Toc15377212"/>
      <w:r>
        <w:rPr>
          <w:rFonts w:hint="default" w:ascii="Times New Roman" w:hAnsi="Times New Roman" w:eastAsia="仿宋" w:cs="Times New Roman"/>
          <w:b/>
          <w:color w:val="000000"/>
          <w:sz w:val="32"/>
          <w:szCs w:val="32"/>
        </w:rPr>
        <w:t>（三）一般公共预算财政拨款支出决算具体情况</w:t>
      </w:r>
      <w:bookmarkEnd w:id="30"/>
    </w:p>
    <w:p>
      <w:pPr>
        <w:spacing w:line="600" w:lineRule="exact"/>
        <w:ind w:firstLine="643" w:firstLineChars="200"/>
        <w:outlineLvl w:val="2"/>
        <w:rPr>
          <w:rFonts w:hint="default" w:ascii="Times New Roman" w:hAnsi="Times New Roman" w:eastAsia="仿宋" w:cs="Times New Roman"/>
          <w:color w:val="FF0000"/>
          <w:sz w:val="32"/>
          <w:szCs w:val="32"/>
        </w:rPr>
      </w:pPr>
      <w:bookmarkStart w:id="31" w:name="_Toc15377213"/>
      <w:bookmarkStart w:id="32" w:name="_Toc15377444"/>
      <w:bookmarkStart w:id="33" w:name="_Toc15378460"/>
      <w:r>
        <w:rPr>
          <w:rFonts w:hint="default" w:ascii="Times New Roman" w:hAnsi="Times New Roman" w:eastAsia="仿宋" w:cs="Times New Roman"/>
          <w:b/>
          <w:color w:val="000000" w:themeColor="text1"/>
          <w:sz w:val="32"/>
          <w:szCs w:val="32"/>
          <w14:textFill>
            <w14:solidFill>
              <w14:schemeClr w14:val="tx1"/>
            </w14:solidFill>
          </w14:textFill>
        </w:rPr>
        <w:t>2020年一般公共预算支出决算数为84.86万元</w:t>
      </w:r>
      <w:r>
        <w:rPr>
          <w:rFonts w:hint="default" w:ascii="Times New Roman" w:hAnsi="Times New Roman" w:eastAsia="仿宋" w:cs="Times New Roman"/>
          <w:color w:val="000000" w:themeColor="text1"/>
          <w:sz w:val="32"/>
          <w:szCs w:val="32"/>
          <w14:textFill>
            <w14:solidFill>
              <w14:schemeClr w14:val="tx1"/>
            </w14:solidFill>
          </w14:textFill>
        </w:rPr>
        <w:t>，</w:t>
      </w:r>
      <w:r>
        <w:rPr>
          <w:rStyle w:val="14"/>
          <w:rFonts w:hint="default" w:ascii="Times New Roman" w:hAnsi="Times New Roman" w:eastAsia="仿宋" w:cs="Times New Roman"/>
          <w:bCs/>
          <w:color w:val="000000" w:themeColor="text1"/>
          <w:sz w:val="32"/>
          <w:szCs w:val="32"/>
          <w14:textFill>
            <w14:solidFill>
              <w14:schemeClr w14:val="tx1"/>
            </w14:solidFill>
          </w14:textFill>
        </w:rPr>
        <w:t>完成</w:t>
      </w:r>
      <w:r>
        <w:rPr>
          <w:rStyle w:val="14"/>
          <w:rFonts w:hint="default" w:ascii="Times New Roman" w:hAnsi="Times New Roman" w:eastAsia="仿宋" w:cs="Times New Roman"/>
          <w:bCs/>
          <w:color w:val="000000"/>
          <w:sz w:val="32"/>
          <w:szCs w:val="32"/>
        </w:rPr>
        <w:t>预算100%。其中：</w:t>
      </w:r>
      <w:bookmarkEnd w:id="31"/>
      <w:bookmarkEnd w:id="32"/>
      <w:bookmarkEnd w:id="33"/>
    </w:p>
    <w:p>
      <w:pPr>
        <w:spacing w:line="600" w:lineRule="exact"/>
        <w:ind w:firstLine="643"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Style w:val="14"/>
          <w:rFonts w:hint="default" w:ascii="Times New Roman" w:hAnsi="Times New Roman" w:eastAsia="仿宋" w:cs="Times New Roman"/>
          <w:bCs/>
          <w:color w:val="000000" w:themeColor="text1"/>
          <w:sz w:val="32"/>
          <w:szCs w:val="32"/>
          <w14:textFill>
            <w14:solidFill>
              <w14:schemeClr w14:val="tx1"/>
            </w14:solidFill>
          </w14:textFill>
        </w:rPr>
        <w:t>1.</w:t>
      </w:r>
      <w:r>
        <w:rPr>
          <w:rFonts w:hint="default" w:ascii="Times New Roman" w:hAnsi="Times New Roman" w:eastAsia="仿宋" w:cs="Times New Roman"/>
          <w:b/>
          <w:bCs/>
          <w:color w:val="000000" w:themeColor="text1"/>
          <w:sz w:val="32"/>
          <w:szCs w:val="32"/>
          <w14:textFill>
            <w14:solidFill>
              <w14:schemeClr w14:val="tx1"/>
            </w14:solidFill>
          </w14:textFill>
        </w:rPr>
        <w:t>教育支出（类）进修及培训（款）培训支出（项）:</w:t>
      </w:r>
      <w:r>
        <w:rPr>
          <w:rStyle w:val="14"/>
          <w:rFonts w:hint="default" w:ascii="Times New Roman" w:hAnsi="Times New Roman" w:eastAsia="仿宋" w:cs="Times New Roman"/>
          <w:b w:val="0"/>
          <w:bCs/>
          <w:color w:val="000000" w:themeColor="text1"/>
          <w:sz w:val="32"/>
          <w:szCs w:val="32"/>
          <w14:textFill>
            <w14:solidFill>
              <w14:schemeClr w14:val="tx1"/>
            </w14:solidFill>
          </w14:textFill>
        </w:rPr>
        <w:t>支出决算为0.07万元，完成预算100%。</w:t>
      </w:r>
    </w:p>
    <w:p>
      <w:pPr>
        <w:spacing w:line="600" w:lineRule="exact"/>
        <w:ind w:firstLine="643"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Style w:val="14"/>
          <w:rFonts w:hint="default" w:ascii="Times New Roman" w:hAnsi="Times New Roman" w:eastAsia="仿宋" w:cs="Times New Roman"/>
          <w:bCs/>
          <w:color w:val="000000" w:themeColor="text1"/>
          <w:sz w:val="32"/>
          <w:szCs w:val="32"/>
          <w14:textFill>
            <w14:solidFill>
              <w14:schemeClr w14:val="tx1"/>
            </w14:solidFill>
          </w14:textFill>
        </w:rPr>
        <w:t>2.</w:t>
      </w:r>
      <w:r>
        <w:rPr>
          <w:rFonts w:hint="default" w:ascii="Times New Roman" w:hAnsi="Times New Roman" w:eastAsia="仿宋" w:cs="Times New Roman"/>
          <w:b/>
          <w:bCs/>
          <w:color w:val="000000" w:themeColor="text1"/>
          <w:sz w:val="32"/>
          <w:szCs w:val="32"/>
          <w14:textFill>
            <w14:solidFill>
              <w14:schemeClr w14:val="tx1"/>
            </w14:solidFill>
          </w14:textFill>
        </w:rPr>
        <w:t>社会保障和就业支出（类）民政管理事务（款）其他民政管理事务支出（项）:</w:t>
      </w:r>
      <w:r>
        <w:rPr>
          <w:rStyle w:val="14"/>
          <w:rFonts w:hint="default" w:ascii="Times New Roman" w:hAnsi="Times New Roman" w:eastAsia="仿宋" w:cs="Times New Roman"/>
          <w:b w:val="0"/>
          <w:bCs/>
          <w:color w:val="000000" w:themeColor="text1"/>
          <w:sz w:val="32"/>
          <w:szCs w:val="32"/>
          <w14:textFill>
            <w14:solidFill>
              <w14:schemeClr w14:val="tx1"/>
            </w14:solidFill>
          </w14:textFill>
        </w:rPr>
        <w:t>支出决算为69.46万元，完成预算100%。</w:t>
      </w:r>
    </w:p>
    <w:p>
      <w:pPr>
        <w:spacing w:line="600" w:lineRule="exact"/>
        <w:ind w:firstLine="643" w:firstLineChars="200"/>
        <w:rPr>
          <w:rFonts w:hint="default" w:ascii="Times New Roman" w:hAnsi="Times New Roman" w:eastAsia="仿宋" w:cs="Times New Roman"/>
          <w:b/>
          <w:color w:val="000000"/>
          <w:sz w:val="32"/>
          <w:szCs w:val="32"/>
        </w:rPr>
      </w:pPr>
      <w:r>
        <w:rPr>
          <w:rStyle w:val="14"/>
          <w:rFonts w:hint="default" w:ascii="Times New Roman" w:hAnsi="Times New Roman" w:eastAsia="仿宋" w:cs="Times New Roman"/>
          <w:bCs/>
          <w:color w:val="000000"/>
          <w:sz w:val="32"/>
          <w:szCs w:val="32"/>
        </w:rPr>
        <w:t>3.</w:t>
      </w:r>
      <w:r>
        <w:rPr>
          <w:rFonts w:hint="default" w:ascii="Times New Roman" w:hAnsi="Times New Roman" w:eastAsia="仿宋" w:cs="Times New Roman"/>
          <w:b/>
          <w:bCs/>
          <w:color w:val="000000"/>
          <w:sz w:val="32"/>
          <w:szCs w:val="32"/>
        </w:rPr>
        <w:t>社会保障和就业支出（类）行政事业单位养老支出（款）机关事业单位基本养老保险缴费支出（项）:</w:t>
      </w:r>
      <w:r>
        <w:rPr>
          <w:rStyle w:val="14"/>
          <w:rFonts w:hint="default" w:ascii="Times New Roman" w:hAnsi="Times New Roman" w:eastAsia="仿宋" w:cs="Times New Roman"/>
          <w:b w:val="0"/>
          <w:bCs/>
          <w:color w:val="000000"/>
          <w:sz w:val="32"/>
          <w:szCs w:val="32"/>
        </w:rPr>
        <w:t>支出决算为4.79万元，完成预算100%。</w:t>
      </w:r>
    </w:p>
    <w:p>
      <w:pPr>
        <w:spacing w:line="600" w:lineRule="exact"/>
        <w:ind w:firstLine="643" w:firstLineChars="200"/>
        <w:rPr>
          <w:rFonts w:hint="default" w:ascii="Times New Roman" w:hAnsi="Times New Roman" w:eastAsia="仿宋" w:cs="Times New Roman"/>
          <w:b/>
          <w:color w:val="000000"/>
          <w:sz w:val="32"/>
          <w:szCs w:val="32"/>
        </w:rPr>
      </w:pPr>
      <w:r>
        <w:rPr>
          <w:rStyle w:val="14"/>
          <w:rFonts w:hint="default" w:ascii="Times New Roman" w:hAnsi="Times New Roman" w:eastAsia="仿宋" w:cs="Times New Roman"/>
          <w:bCs/>
          <w:color w:val="000000"/>
          <w:sz w:val="32"/>
          <w:szCs w:val="32"/>
        </w:rPr>
        <w:t>4.</w:t>
      </w:r>
      <w:r>
        <w:rPr>
          <w:rFonts w:hint="default" w:ascii="Times New Roman" w:hAnsi="Times New Roman" w:eastAsia="仿宋" w:cs="Times New Roman"/>
          <w:b/>
          <w:bCs/>
          <w:color w:val="000000"/>
          <w:sz w:val="32"/>
          <w:szCs w:val="32"/>
        </w:rPr>
        <w:t>社会保障和就业支出（类）行政事业单位养老支出（款）机关事业单位职业年金缴费支出（项）:</w:t>
      </w:r>
      <w:r>
        <w:rPr>
          <w:rStyle w:val="14"/>
          <w:rFonts w:hint="default" w:ascii="Times New Roman" w:hAnsi="Times New Roman" w:eastAsia="仿宋" w:cs="Times New Roman"/>
          <w:b w:val="0"/>
          <w:bCs/>
          <w:color w:val="000000"/>
          <w:sz w:val="32"/>
          <w:szCs w:val="32"/>
        </w:rPr>
        <w:t>支出决算为2.41万元，完成预算100%。</w:t>
      </w:r>
    </w:p>
    <w:p>
      <w:pPr>
        <w:spacing w:line="600" w:lineRule="exact"/>
        <w:ind w:firstLine="643" w:firstLineChars="200"/>
        <w:rPr>
          <w:rFonts w:hint="default" w:ascii="Times New Roman" w:hAnsi="Times New Roman" w:eastAsia="仿宋" w:cs="Times New Roman"/>
          <w:b/>
          <w:color w:val="000000"/>
          <w:sz w:val="32"/>
          <w:szCs w:val="32"/>
        </w:rPr>
      </w:pPr>
      <w:r>
        <w:rPr>
          <w:rStyle w:val="14"/>
          <w:rFonts w:hint="default" w:ascii="Times New Roman" w:hAnsi="Times New Roman" w:eastAsia="仿宋" w:cs="Times New Roman"/>
          <w:bCs/>
          <w:color w:val="000000"/>
          <w:sz w:val="32"/>
          <w:szCs w:val="32"/>
        </w:rPr>
        <w:t>5.</w:t>
      </w:r>
      <w:r>
        <w:rPr>
          <w:rFonts w:hint="default" w:ascii="Times New Roman" w:hAnsi="Times New Roman" w:eastAsia="仿宋" w:cs="Times New Roman"/>
          <w:b/>
          <w:bCs/>
          <w:color w:val="000000"/>
          <w:sz w:val="32"/>
          <w:szCs w:val="32"/>
        </w:rPr>
        <w:t>卫生健康支出（类）行政事业单位医疗（款）事业单位医疗（项）：</w:t>
      </w:r>
      <w:r>
        <w:rPr>
          <w:rStyle w:val="14"/>
          <w:rFonts w:hint="default" w:ascii="Times New Roman" w:hAnsi="Times New Roman" w:eastAsia="仿宋" w:cs="Times New Roman"/>
          <w:b w:val="0"/>
          <w:bCs/>
          <w:color w:val="000000"/>
          <w:sz w:val="32"/>
          <w:szCs w:val="32"/>
        </w:rPr>
        <w:t>支出决算为3.92万元，完成预算100%。</w:t>
      </w:r>
    </w:p>
    <w:p>
      <w:pPr>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6.住房保障支出（类）住房改革支出（款）住房公积金（项）：</w:t>
      </w:r>
      <w:r>
        <w:rPr>
          <w:rStyle w:val="14"/>
          <w:rFonts w:hint="default" w:ascii="Times New Roman" w:hAnsi="Times New Roman" w:eastAsia="仿宋" w:cs="Times New Roman"/>
          <w:b w:val="0"/>
          <w:bCs/>
          <w:color w:val="000000"/>
          <w:sz w:val="32"/>
          <w:szCs w:val="32"/>
        </w:rPr>
        <w:t>支出决算为4.21万元，完成预算100%。</w:t>
      </w:r>
    </w:p>
    <w:p>
      <w:pPr>
        <w:spacing w:line="600" w:lineRule="exact"/>
        <w:ind w:firstLine="640"/>
        <w:rPr>
          <w:rFonts w:hint="default" w:ascii="Times New Roman" w:hAnsi="Times New Roman" w:eastAsia="仿宋" w:cs="Times New Roman"/>
          <w:b/>
          <w:color w:val="000000"/>
          <w:sz w:val="32"/>
          <w:szCs w:val="32"/>
        </w:rPr>
      </w:pPr>
    </w:p>
    <w:p>
      <w:pPr>
        <w:tabs>
          <w:tab w:val="right" w:pos="8306"/>
        </w:tabs>
        <w:spacing w:line="600" w:lineRule="exact"/>
        <w:ind w:firstLine="640"/>
        <w:outlineLvl w:val="1"/>
        <w:rPr>
          <w:rStyle w:val="26"/>
          <w:rFonts w:hint="default" w:ascii="Times New Roman" w:hAnsi="Times New Roman" w:cs="Times New Roman"/>
        </w:rPr>
      </w:pPr>
      <w:bookmarkStart w:id="34" w:name="_Toc15377214"/>
      <w:bookmarkStart w:id="35" w:name="_Toc15396608"/>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6"/>
          <w:rFonts w:hint="default" w:ascii="Times New Roman" w:hAnsi="Times New Roman" w:eastAsia="黑体" w:cs="Times New Roman"/>
          <w:b w:val="0"/>
        </w:rPr>
        <w:t>般公共预算财政拨款基本支出决算情况说明</w:t>
      </w:r>
      <w:bookmarkEnd w:id="34"/>
      <w:bookmarkEnd w:id="35"/>
      <w:r>
        <w:rPr>
          <w:rStyle w:val="26"/>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2020年一般公共预算财政拨款基本支出65.71万元，其中：</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51.14万元，主要包括：基本工资、津贴补贴、绩效工资、机关事业单位基本养老保险缴费、职业年金缴费、其他社会保障缴费、其他工资福利支出、医疗费补助、奖励金、住房公积金、其他对个人和家庭的补助支出等。</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公用经费</w:t>
      </w:r>
      <w:r>
        <w:rPr>
          <w:rFonts w:hint="default" w:ascii="Times New Roman" w:hAnsi="Times New Roman" w:eastAsia="仿宋" w:cs="Times New Roman"/>
          <w:color w:val="000000"/>
          <w:sz w:val="32"/>
          <w:szCs w:val="32"/>
        </w:rPr>
        <w:t>14.57万元，主要包括：办公费、差旅费、维修（护）费、培训费、工会经费、福利费、其他商品和服务支出等。</w:t>
      </w:r>
    </w:p>
    <w:p>
      <w:pPr>
        <w:spacing w:line="600" w:lineRule="exact"/>
        <w:ind w:firstLine="640"/>
        <w:rPr>
          <w:rFonts w:hint="default" w:ascii="Times New Roman" w:hAnsi="Times New Roman" w:eastAsia="仿宋" w:cs="Times New Roman"/>
          <w:b/>
          <w:color w:val="FF0000"/>
          <w:sz w:val="32"/>
          <w:szCs w:val="32"/>
        </w:rPr>
      </w:pPr>
    </w:p>
    <w:p>
      <w:pPr>
        <w:spacing w:line="600" w:lineRule="exact"/>
        <w:ind w:firstLine="640"/>
        <w:outlineLvl w:val="1"/>
        <w:rPr>
          <w:rStyle w:val="26"/>
          <w:rFonts w:hint="default" w:ascii="Times New Roman" w:hAnsi="Times New Roman" w:eastAsia="黑体" w:cs="Times New Roman"/>
          <w:b w:val="0"/>
        </w:rPr>
      </w:pPr>
      <w:bookmarkStart w:id="36" w:name="_Toc15377215"/>
      <w:bookmarkStart w:id="37" w:name="_Toc15396609"/>
      <w:r>
        <w:rPr>
          <w:rFonts w:hint="default" w:ascii="Times New Roman" w:hAnsi="Times New Roman" w:eastAsia="黑体" w:cs="Times New Roman"/>
          <w:color w:val="000000"/>
          <w:sz w:val="32"/>
          <w:szCs w:val="32"/>
        </w:rPr>
        <w:t>七、</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三公”经费财政拨款支出决算情况说明</w:t>
      </w:r>
      <w:bookmarkEnd w:id="36"/>
      <w:bookmarkEnd w:id="37"/>
    </w:p>
    <w:p>
      <w:pPr>
        <w:spacing w:line="600" w:lineRule="exact"/>
        <w:ind w:firstLine="640"/>
        <w:outlineLvl w:val="2"/>
        <w:rPr>
          <w:rFonts w:hint="default" w:ascii="Times New Roman" w:hAnsi="Times New Roman" w:eastAsia="仿宋" w:cs="Times New Roman"/>
          <w:b/>
          <w:color w:val="000000"/>
          <w:sz w:val="32"/>
          <w:szCs w:val="32"/>
        </w:rPr>
      </w:pPr>
      <w:bookmarkStart w:id="38" w:name="_Toc15377216"/>
      <w:r>
        <w:rPr>
          <w:rFonts w:hint="default" w:ascii="Times New Roman" w:hAnsi="Times New Roman" w:eastAsia="仿宋" w:cs="Times New Roman"/>
          <w:b/>
          <w:color w:val="000000"/>
          <w:sz w:val="32"/>
          <w:szCs w:val="32"/>
        </w:rPr>
        <w:t>（一）“三公”经费财政拨款支出决算总体情况说明</w:t>
      </w:r>
      <w:bookmarkEnd w:id="38"/>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2020年“三公”经费财政拨款支出决算为0万元。</w:t>
      </w:r>
    </w:p>
    <w:p>
      <w:pPr>
        <w:spacing w:line="600" w:lineRule="exact"/>
        <w:ind w:firstLine="640"/>
        <w:outlineLvl w:val="2"/>
        <w:rPr>
          <w:rFonts w:hint="default" w:ascii="Times New Roman" w:hAnsi="Times New Roman" w:eastAsia="仿宋" w:cs="Times New Roman"/>
          <w:b/>
          <w:color w:val="000000"/>
          <w:sz w:val="32"/>
          <w:szCs w:val="32"/>
        </w:rPr>
      </w:pPr>
      <w:bookmarkStart w:id="39" w:name="_Toc15377217"/>
      <w:r>
        <w:rPr>
          <w:rFonts w:hint="default" w:ascii="Times New Roman" w:hAnsi="Times New Roman" w:eastAsia="仿宋" w:cs="Times New Roman"/>
          <w:b/>
          <w:color w:val="000000"/>
          <w:sz w:val="32"/>
          <w:szCs w:val="32"/>
        </w:rPr>
        <w:t>（二）“三公”经费财政拨款支出决算具体情况说明</w:t>
      </w:r>
      <w:bookmarkEnd w:id="39"/>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rPr>
        <w:t>1.因公出国（境）经费支出</w:t>
      </w:r>
      <w:r>
        <w:rPr>
          <w:rFonts w:hint="default" w:ascii="Times New Roman" w:hAnsi="Times New Roman" w:eastAsia="仿宋_GB2312" w:cs="Times New Roman"/>
          <w:color w:val="000000"/>
          <w:sz w:val="32"/>
          <w:szCs w:val="32"/>
          <w:highlight w:val="none"/>
        </w:rPr>
        <w:t>0万元，</w:t>
      </w:r>
      <w:r>
        <w:rPr>
          <w:rStyle w:val="14"/>
          <w:rFonts w:hint="default" w:ascii="Times New Roman" w:hAnsi="Times New Roman" w:eastAsia="仿宋" w:cs="Times New Roman"/>
          <w:b w:val="0"/>
          <w:bCs/>
          <w:color w:val="000000"/>
          <w:sz w:val="32"/>
          <w:szCs w:val="32"/>
          <w:highlight w:val="none"/>
        </w:rPr>
        <w:t>完成预算100%。</w:t>
      </w:r>
      <w:r>
        <w:rPr>
          <w:rFonts w:hint="default" w:ascii="Times New Roman" w:hAnsi="Times New Roman" w:eastAsia="仿宋_GB2312" w:cs="Times New Roman"/>
          <w:color w:val="000000"/>
          <w:sz w:val="32"/>
          <w:szCs w:val="32"/>
          <w:highlight w:val="none"/>
        </w:rPr>
        <w:t>全年安排因公出国（境）团组0次，出国（境）0人。因公出国（境）支出决算与2019年决算数持平</w:t>
      </w:r>
    </w:p>
    <w:p>
      <w:pPr>
        <w:spacing w:line="600" w:lineRule="exact"/>
        <w:ind w:firstLine="64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rPr>
        <w:t>2.公务用车购置及运行维护费支出</w:t>
      </w:r>
      <w:r>
        <w:rPr>
          <w:rFonts w:hint="default" w:ascii="Times New Roman" w:hAnsi="Times New Roman" w:eastAsia="仿宋_GB2312" w:cs="Times New Roman"/>
          <w:color w:val="000000"/>
          <w:sz w:val="32"/>
          <w:szCs w:val="32"/>
          <w:highlight w:val="none"/>
        </w:rPr>
        <w:t>0万元,</w:t>
      </w:r>
      <w:r>
        <w:rPr>
          <w:rStyle w:val="14"/>
          <w:rFonts w:hint="default" w:ascii="Times New Roman" w:hAnsi="Times New Roman" w:eastAsia="仿宋" w:cs="Times New Roman"/>
          <w:b w:val="0"/>
          <w:bCs/>
          <w:color w:val="000000"/>
          <w:sz w:val="32"/>
          <w:szCs w:val="32"/>
          <w:highlight w:val="none"/>
        </w:rPr>
        <w:t>完成预算100%。</w:t>
      </w:r>
      <w:r>
        <w:rPr>
          <w:rFonts w:hint="default" w:ascii="Times New Roman" w:hAnsi="Times New Roman" w:eastAsia="仿宋_GB2312" w:cs="Times New Roman"/>
          <w:color w:val="000000"/>
          <w:sz w:val="32"/>
          <w:szCs w:val="32"/>
          <w:highlight w:val="none"/>
        </w:rPr>
        <w:t>公务用车购置及运行维护费支出决算与2019年决算数持平。</w:t>
      </w:r>
    </w:p>
    <w:p>
      <w:pPr>
        <w:spacing w:line="600" w:lineRule="exact"/>
        <w:ind w:firstLine="640"/>
        <w:rPr>
          <w:rFonts w:hint="default" w:ascii="Times New Roman" w:hAnsi="Times New Roman" w:eastAsia="仿宋_GB2312" w:cs="Times New Roman"/>
          <w:b/>
          <w:color w:val="000000"/>
          <w:sz w:val="32"/>
          <w:szCs w:val="32"/>
          <w:highlight w:val="none"/>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b/>
          <w:color w:val="000000"/>
          <w:sz w:val="32"/>
          <w:szCs w:val="32"/>
          <w:highlight w:val="none"/>
        </w:rPr>
        <w:t>公务用车购置支出</w:t>
      </w:r>
      <w:r>
        <w:rPr>
          <w:rFonts w:hint="default" w:ascii="Times New Roman" w:hAnsi="Times New Roman" w:eastAsia="仿宋_GB2312" w:cs="Times New Roman"/>
          <w:color w:val="000000"/>
          <w:sz w:val="32"/>
          <w:szCs w:val="32"/>
          <w:highlight w:val="none"/>
        </w:rPr>
        <w:t>0万元。全年按规定更新购置公务用车0辆，其中：轿车0辆、金额0万元，越野车0辆、金额0万元，载客汽车0辆、金额0万元。截至2020年12月底，单位共有公务用车0辆，其中：轿车0辆、越野车0辆、载客汽车0辆。</w:t>
      </w:r>
    </w:p>
    <w:p>
      <w:pPr>
        <w:spacing w:line="600" w:lineRule="exact"/>
        <w:ind w:firstLine="64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rPr>
        <w:t>公务用车运行维护费支出</w:t>
      </w:r>
      <w:r>
        <w:rPr>
          <w:rFonts w:hint="default" w:ascii="Times New Roman" w:hAnsi="Times New Roman" w:eastAsia="仿宋_GB2312" w:cs="Times New Roman"/>
          <w:color w:val="000000"/>
          <w:sz w:val="32"/>
          <w:szCs w:val="32"/>
          <w:highlight w:val="none"/>
        </w:rPr>
        <w:t>0万元。</w:t>
      </w:r>
    </w:p>
    <w:p>
      <w:pPr>
        <w:spacing w:line="600" w:lineRule="exact"/>
        <w:ind w:firstLine="64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rPr>
        <w:t>3.公务接待费支出</w:t>
      </w:r>
      <w:r>
        <w:rPr>
          <w:rFonts w:hint="default" w:ascii="Times New Roman" w:hAnsi="Times New Roman" w:eastAsia="仿宋_GB2312" w:cs="Times New Roman"/>
          <w:color w:val="000000"/>
          <w:sz w:val="32"/>
          <w:szCs w:val="32"/>
          <w:highlight w:val="none"/>
        </w:rPr>
        <w:t>0万元，</w:t>
      </w:r>
      <w:r>
        <w:rPr>
          <w:rStyle w:val="14"/>
          <w:rFonts w:hint="default" w:ascii="Times New Roman" w:hAnsi="Times New Roman" w:eastAsia="仿宋" w:cs="Times New Roman"/>
          <w:b w:val="0"/>
          <w:bCs/>
          <w:color w:val="000000"/>
          <w:sz w:val="32"/>
          <w:szCs w:val="32"/>
          <w:highlight w:val="none"/>
        </w:rPr>
        <w:t>完成预算100%。</w:t>
      </w:r>
      <w:r>
        <w:rPr>
          <w:rFonts w:hint="default" w:ascii="Times New Roman" w:hAnsi="Times New Roman" w:eastAsia="仿宋_GB2312" w:cs="Times New Roman"/>
          <w:color w:val="000000"/>
          <w:sz w:val="32"/>
          <w:szCs w:val="32"/>
          <w:highlight w:val="none"/>
        </w:rPr>
        <w:t>公务接待费支出决算与2019年决算数持平。</w:t>
      </w:r>
    </w:p>
    <w:p>
      <w:pPr>
        <w:spacing w:line="600" w:lineRule="exact"/>
        <w:ind w:firstLine="640"/>
        <w:rPr>
          <w:rFonts w:hint="default" w:ascii="Times New Roman" w:hAnsi="Times New Roman" w:eastAsia="仿宋_GB2312" w:cs="Times New Roman"/>
          <w:color w:val="000000"/>
          <w:sz w:val="32"/>
          <w:szCs w:val="32"/>
          <w:highlight w:val="none"/>
        </w:rPr>
      </w:pPr>
      <w:r>
        <w:rPr>
          <w:rFonts w:hint="default" w:ascii="Times New Roman" w:hAnsi="Times New Roman" w:eastAsia="仿宋" w:cs="Times New Roman"/>
          <w:b/>
          <w:color w:val="000000"/>
          <w:sz w:val="32"/>
          <w:szCs w:val="32"/>
          <w:highlight w:val="none"/>
        </w:rPr>
        <w:t>国内公务接待支出</w:t>
      </w:r>
      <w:r>
        <w:rPr>
          <w:rFonts w:hint="default" w:ascii="Times New Roman" w:hAnsi="Times New Roman" w:eastAsia="仿宋" w:cs="Times New Roman"/>
          <w:color w:val="000000"/>
          <w:sz w:val="32"/>
          <w:szCs w:val="32"/>
          <w:highlight w:val="none"/>
        </w:rPr>
        <w:t>0</w:t>
      </w:r>
      <w:r>
        <w:rPr>
          <w:rFonts w:hint="default" w:ascii="Times New Roman" w:hAnsi="Times New Roman" w:eastAsia="仿宋_GB2312" w:cs="Times New Roman"/>
          <w:color w:val="000000"/>
          <w:sz w:val="32"/>
          <w:szCs w:val="32"/>
          <w:highlight w:val="none"/>
        </w:rPr>
        <w:t>万元。</w:t>
      </w:r>
    </w:p>
    <w:p>
      <w:pPr>
        <w:spacing w:line="60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sz w:val="32"/>
          <w:szCs w:val="32"/>
        </w:rPr>
        <w:t>外事接待支出</w:t>
      </w:r>
      <w:r>
        <w:rPr>
          <w:rFonts w:hint="default" w:ascii="Times New Roman" w:hAnsi="Times New Roman" w:eastAsia="仿宋" w:cs="Times New Roman"/>
          <w:color w:val="000000"/>
          <w:sz w:val="32"/>
          <w:szCs w:val="32"/>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themeColor="text1"/>
          <w:sz w:val="32"/>
          <w:szCs w:val="32"/>
          <w14:textFill>
            <w14:solidFill>
              <w14:schemeClr w14:val="tx1"/>
            </w14:solidFill>
          </w14:textFill>
        </w:rPr>
        <w:t>，外事接待0批次，0人，共计支出0万元。</w:t>
      </w:r>
      <w:bookmarkStart w:id="40" w:name="_Toc15377218"/>
      <w:bookmarkStart w:id="41" w:name="_Toc15396610"/>
    </w:p>
    <w:p>
      <w:pPr>
        <w:pStyle w:val="2"/>
        <w:rPr>
          <w:rFonts w:hint="default"/>
        </w:rPr>
      </w:pPr>
    </w:p>
    <w:p>
      <w:pPr>
        <w:spacing w:line="600" w:lineRule="exact"/>
        <w:ind w:firstLine="640"/>
        <w:outlineLvl w:val="1"/>
        <w:rPr>
          <w:rStyle w:val="26"/>
          <w:rFonts w:hint="default" w:ascii="Times New Roman" w:hAnsi="Times New Roman" w:eastAsia="黑体" w:cs="Times New Roman"/>
        </w:rPr>
      </w:pPr>
      <w:r>
        <w:rPr>
          <w:rFonts w:hint="default" w:ascii="Times New Roman" w:hAnsi="Times New Roman" w:eastAsia="黑体" w:cs="Times New Roman"/>
          <w:color w:val="000000"/>
          <w:sz w:val="32"/>
          <w:szCs w:val="32"/>
        </w:rPr>
        <w:t>八、</w:t>
      </w:r>
      <w:r>
        <w:rPr>
          <w:rStyle w:val="26"/>
          <w:rFonts w:hint="default" w:ascii="Times New Roman" w:hAnsi="Times New Roman" w:eastAsia="黑体" w:cs="Times New Roman"/>
          <w:b w:val="0"/>
        </w:rPr>
        <w:t>政府性基金预算支出决算情况说明</w:t>
      </w:r>
      <w:bookmarkEnd w:id="40"/>
      <w:bookmarkEnd w:id="41"/>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2020年政府性基金预算</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sz w:val="32"/>
          <w:szCs w:val="32"/>
        </w:rPr>
        <w:t>拨款支出1288.78万元。</w:t>
      </w:r>
    </w:p>
    <w:p>
      <w:pPr>
        <w:spacing w:line="600" w:lineRule="exact"/>
        <w:ind w:firstLine="640"/>
        <w:rPr>
          <w:rFonts w:hint="default" w:ascii="Times New Roman" w:hAnsi="Times New Roman" w:eastAsia="仿宋_GB2312" w:cs="Times New Roman"/>
          <w:color w:val="000000"/>
          <w:sz w:val="32"/>
          <w:szCs w:val="32"/>
        </w:rPr>
      </w:pPr>
    </w:p>
    <w:p>
      <w:pPr>
        <w:numPr>
          <w:ilvl w:val="0"/>
          <w:numId w:val="4"/>
        </w:numPr>
        <w:spacing w:line="600" w:lineRule="exact"/>
        <w:ind w:firstLine="640"/>
        <w:outlineLvl w:val="1"/>
        <w:rPr>
          <w:rStyle w:val="26"/>
          <w:rFonts w:hint="default" w:ascii="Times New Roman" w:hAnsi="Times New Roman" w:eastAsia="黑体" w:cs="Times New Roman"/>
          <w:b w:val="0"/>
        </w:rPr>
      </w:pPr>
      <w:bookmarkStart w:id="42" w:name="_Toc15396611"/>
      <w:bookmarkStart w:id="43" w:name="_Toc15377219"/>
      <w:r>
        <w:rPr>
          <w:rStyle w:val="26"/>
          <w:rFonts w:hint="default" w:ascii="Times New Roman" w:hAnsi="Times New Roman" w:eastAsia="黑体" w:cs="Times New Roman"/>
          <w:b w:val="0"/>
        </w:rPr>
        <w:t>国有资本经营预算支出决算情况说明</w:t>
      </w:r>
      <w:bookmarkEnd w:id="42"/>
      <w:bookmarkEnd w:id="43"/>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2020年国有资本经营</w:t>
      </w:r>
      <w:r>
        <w:rPr>
          <w:rFonts w:hint="default" w:ascii="Times New Roman" w:hAnsi="Times New Roman" w:eastAsia="仿宋_GB2312" w:cs="Times New Roman"/>
          <w:color w:val="000000" w:themeColor="text1"/>
          <w:sz w:val="32"/>
          <w:szCs w:val="32"/>
          <w14:textFill>
            <w14:solidFill>
              <w14:schemeClr w14:val="tx1"/>
            </w14:solidFill>
          </w14:textFill>
        </w:rPr>
        <w:t>预算财政拨</w:t>
      </w:r>
      <w:r>
        <w:rPr>
          <w:rFonts w:hint="default" w:ascii="Times New Roman" w:hAnsi="Times New Roman" w:eastAsia="仿宋_GB2312" w:cs="Times New Roman"/>
          <w:color w:val="000000"/>
          <w:sz w:val="32"/>
          <w:szCs w:val="32"/>
        </w:rPr>
        <w:t>款支出0万元。</w:t>
      </w:r>
    </w:p>
    <w:p>
      <w:pPr>
        <w:spacing w:line="580" w:lineRule="exact"/>
        <w:jc w:val="center"/>
        <w:rPr>
          <w:rFonts w:hint="default" w:ascii="Times New Roman" w:hAnsi="Times New Roman" w:eastAsia="方正小标宋简体" w:cs="Times New Roman"/>
          <w:sz w:val="44"/>
          <w:szCs w:val="44"/>
        </w:rPr>
      </w:pPr>
    </w:p>
    <w:p>
      <w:pPr>
        <w:numPr>
          <w:ilvl w:val="0"/>
          <w:numId w:val="4"/>
        </w:numPr>
        <w:spacing w:line="600" w:lineRule="exact"/>
        <w:ind w:firstLine="640"/>
        <w:outlineLvl w:val="1"/>
        <w:rPr>
          <w:rStyle w:val="26"/>
          <w:rFonts w:hint="default" w:ascii="Times New Roman" w:hAnsi="Times New Roman" w:eastAsia="黑体" w:cs="Times New Roman"/>
          <w:b w:val="0"/>
        </w:rPr>
      </w:pPr>
      <w:bookmarkStart w:id="44" w:name="_Toc15377221"/>
      <w:bookmarkStart w:id="45" w:name="_Toc15396612"/>
      <w:r>
        <w:rPr>
          <w:rStyle w:val="26"/>
          <w:rFonts w:hint="default" w:ascii="Times New Roman" w:hAnsi="Times New Roman" w:eastAsia="黑体" w:cs="Times New Roman"/>
          <w:b w:val="0"/>
        </w:rPr>
        <w:t>其他重要事项的情况说明</w:t>
      </w:r>
      <w:bookmarkEnd w:id="44"/>
      <w:bookmarkEnd w:id="45"/>
    </w:p>
    <w:p>
      <w:pPr>
        <w:spacing w:line="600" w:lineRule="exact"/>
        <w:ind w:firstLine="643" w:firstLineChars="200"/>
        <w:outlineLvl w:val="2"/>
        <w:rPr>
          <w:rFonts w:hint="default" w:ascii="Times New Roman" w:hAnsi="Times New Roman" w:eastAsia="仿宋" w:cs="Times New Roman"/>
          <w:color w:val="000000" w:themeColor="text1"/>
          <w:sz w:val="32"/>
          <w:szCs w:val="32"/>
          <w14:textFill>
            <w14:solidFill>
              <w14:schemeClr w14:val="tx1"/>
            </w14:solidFill>
          </w14:textFill>
        </w:rPr>
      </w:pPr>
      <w:bookmarkStart w:id="46" w:name="_Toc15377222"/>
      <w:r>
        <w:rPr>
          <w:rFonts w:hint="default" w:ascii="Times New Roman" w:hAnsi="Times New Roman" w:eastAsia="仿宋" w:cs="Times New Roman"/>
          <w:b/>
          <w:color w:val="000000" w:themeColor="text1"/>
          <w:sz w:val="32"/>
          <w:szCs w:val="32"/>
          <w14:textFill>
            <w14:solidFill>
              <w14:schemeClr w14:val="tx1"/>
            </w14:solidFill>
          </w14:textFill>
        </w:rPr>
        <w:t>（一）机关运行经费支出情况</w:t>
      </w:r>
      <w:bookmarkEnd w:id="46"/>
    </w:p>
    <w:p>
      <w:pPr>
        <w:spacing w:line="600" w:lineRule="exact"/>
        <w:ind w:firstLine="640" w:firstLineChars="200"/>
        <w:rPr>
          <w:rFonts w:hint="eastAsia" w:ascii="Times New Roman" w:hAnsi="Times New Roman" w:eastAsia="仿宋_GB2312" w:cs="Times New Roman"/>
          <w:b/>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养老中心为事业单位，按规定未使用机关运行的相关科目。</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themeColor="text1"/>
          <w:sz w:val="32"/>
          <w:szCs w:val="32"/>
          <w14:textFill>
            <w14:solidFill>
              <w14:schemeClr w14:val="tx1"/>
            </w14:solidFill>
          </w14:textFill>
        </w:rPr>
      </w:pPr>
      <w:bookmarkStart w:id="47" w:name="_Toc15377223"/>
      <w:r>
        <w:rPr>
          <w:rFonts w:hint="default" w:ascii="Times New Roman" w:hAnsi="Times New Roman" w:eastAsia="仿宋" w:cs="Times New Roman"/>
          <w:b/>
          <w:color w:val="000000" w:themeColor="text1"/>
          <w:sz w:val="32"/>
          <w:szCs w:val="32"/>
          <w14:textFill>
            <w14:solidFill>
              <w14:schemeClr w14:val="tx1"/>
            </w14:solidFill>
          </w14:textFill>
        </w:rPr>
        <w:t>（二）政府采购支出情况</w:t>
      </w:r>
      <w:bookmarkEnd w:id="47"/>
    </w:p>
    <w:p>
      <w:pPr>
        <w:spacing w:line="360" w:lineRule="auto"/>
        <w:ind w:firstLine="640" w:firstLineChars="200"/>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2020年，养老中心政府采购支出总额730.51万元，其中：政府采购货物支出710.13万元、政府采购工程支出0万元、政府采购服务支出20.38万元。</w:t>
      </w:r>
      <w:r>
        <w:rPr>
          <w:rFonts w:hint="default" w:ascii="Times New Roman" w:hAnsi="Times New Roman" w:eastAsia="仿宋_GB2312" w:cs="Times New Roman"/>
          <w:color w:val="000000" w:themeColor="text1"/>
          <w:sz w:val="32"/>
          <w:szCs w:val="32"/>
          <w14:textFill>
            <w14:solidFill>
              <w14:schemeClr w14:val="tx1"/>
            </w14:solidFill>
          </w14:textFill>
        </w:rPr>
        <w:t>主要用于支付上年结转项目进度款</w:t>
      </w:r>
      <w:r>
        <w:rPr>
          <w:rFonts w:hint="eastAsia" w:eastAsia="仿宋_GB2312" w:cs="Times New Roman"/>
          <w:color w:val="000000" w:themeColor="text1"/>
          <w:sz w:val="32"/>
          <w:szCs w:val="32"/>
          <w:lang w:val="en-US" w:eastAsia="zh-CN"/>
          <w14:textFill>
            <w14:solidFill>
              <w14:schemeClr w14:val="tx1"/>
            </w14:solidFill>
          </w14:textFill>
        </w:rPr>
        <w:t>和2020年政府采购项目款</w:t>
      </w:r>
      <w:r>
        <w:rPr>
          <w:rFonts w:hint="default" w:ascii="Times New Roman" w:hAnsi="Times New Roman" w:eastAsia="仿宋_GB2312" w:cs="Times New Roman"/>
          <w:color w:val="000000" w:themeColor="text1"/>
          <w:sz w:val="32"/>
          <w:szCs w:val="32"/>
          <w14:textFill>
            <w14:solidFill>
              <w14:schemeClr w14:val="tx1"/>
            </w14:solidFill>
          </w14:textFill>
        </w:rPr>
        <w:t>。其中：</w:t>
      </w:r>
      <w:r>
        <w:rPr>
          <w:rFonts w:hint="eastAsia" w:eastAsia="仿宋_GB2312" w:cs="Times New Roman"/>
          <w:color w:val="000000" w:themeColor="text1"/>
          <w:sz w:val="32"/>
          <w:szCs w:val="32"/>
          <w:lang w:val="en-US" w:eastAsia="zh-CN"/>
          <w14:textFill>
            <w14:solidFill>
              <w14:schemeClr w14:val="tx1"/>
            </w14:solidFill>
          </w14:textFill>
        </w:rPr>
        <w:t>1.支付</w:t>
      </w:r>
      <w:r>
        <w:rPr>
          <w:rFonts w:hint="default" w:ascii="Times New Roman" w:hAnsi="Times New Roman" w:eastAsia="仿宋_GB2312" w:cs="Times New Roman"/>
          <w:color w:val="000000" w:themeColor="text1"/>
          <w:sz w:val="32"/>
          <w:szCs w:val="32"/>
          <w14:textFill>
            <w14:solidFill>
              <w14:schemeClr w14:val="tx1"/>
            </w14:solidFill>
          </w14:textFill>
        </w:rPr>
        <w:t>上年结转项目</w:t>
      </w:r>
      <w:r>
        <w:rPr>
          <w:rFonts w:hint="eastAsia" w:eastAsia="仿宋_GB2312" w:cs="Times New Roman"/>
          <w:color w:val="000000" w:themeColor="text1"/>
          <w:sz w:val="32"/>
          <w:szCs w:val="32"/>
          <w:lang w:val="en-US" w:eastAsia="zh-CN"/>
          <w14:textFill>
            <w14:solidFill>
              <w14:schemeClr w14:val="tx1"/>
            </w14:solidFill>
          </w14:textFill>
        </w:rPr>
        <w:t>资金为702.98万元.（1）.四</w:t>
      </w:r>
      <w:r>
        <w:rPr>
          <w:rFonts w:hint="default" w:ascii="Times New Roman" w:hAnsi="Times New Roman" w:eastAsia="仿宋_GB2312" w:cs="Times New Roman"/>
          <w:color w:val="000000" w:themeColor="text1"/>
          <w:sz w:val="32"/>
          <w:szCs w:val="32"/>
          <w14:textFill>
            <w14:solidFill>
              <w14:schemeClr w14:val="tx1"/>
            </w14:solidFill>
          </w14:textFill>
        </w:rPr>
        <w:t>川省养老实训示范基地筹建处医疗废水处理站及医疗特殊垃圾处理站采购项目尾款25.38万元；</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2</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.四川省养老实训示范基地实训基地一期完善配套设施项目康复设备配置尾款417.46万元；</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3</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.实训基地一期完善配套设施项目老年人居室配套设施购置尾款53.47万元；</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4</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.实训基地一期家具用具购置进度款139.84；</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5</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川省养老实训示范基地筹建处实训基地一期完善配套设施项目采购生活娱乐家具用具进度款66.83万元</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2.当年采购项目资金为27.53万元。(1)</w:t>
      </w:r>
      <w:r>
        <w:rPr>
          <w:rFonts w:hint="default" w:ascii="Times New Roman" w:hAnsi="Times New Roman" w:eastAsia="仿宋_GB2312" w:cs="Times New Roman"/>
          <w:color w:val="000000" w:themeColor="text1"/>
          <w:sz w:val="32"/>
          <w:szCs w:val="32"/>
          <w14:textFill>
            <w14:solidFill>
              <w14:schemeClr w14:val="tx1"/>
            </w14:solidFill>
          </w14:textFill>
        </w:rPr>
        <w:t>实训基地维护费建设项目进度20.38万元</w:t>
      </w:r>
      <w:r>
        <w:rPr>
          <w:rFonts w:hint="eastAsia"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电影院座椅采购项目7.15万元；授予中小企业合同金额0万元，占政府采购支出总额的0%，其中：授予小微企业合同金额0万元，占政府采购支出总额的0%。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48" w:name="_Toc15377224"/>
      <w:r>
        <w:rPr>
          <w:rFonts w:hint="default" w:ascii="Times New Roman" w:hAnsi="Times New Roman" w:eastAsia="仿宋" w:cs="Times New Roman"/>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截至2020年12月31日，四川省养老服务中心共有车辆0辆，其中：主要领导干部用车0辆、机要通信用车0辆、应急保障用车0辆、其他用车0辆,</w:t>
      </w:r>
      <w:r>
        <w:rPr>
          <w:rFonts w:hint="default" w:ascii="Times New Roman" w:hAnsi="Times New Roman" w:eastAsia="仿宋_GB2312" w:cs="Times New Roman"/>
          <w:color w:val="000000" w:themeColor="text1"/>
          <w:sz w:val="32"/>
          <w:szCs w:val="32"/>
          <w14:textFill>
            <w14:solidFill>
              <w14:schemeClr w14:val="tx1"/>
            </w14:solidFill>
          </w14:textFill>
        </w:rPr>
        <w:t>单价50万元以上通用设备0台（套），单价100</w:t>
      </w:r>
      <w:r>
        <w:rPr>
          <w:rFonts w:hint="default" w:ascii="Times New Roman" w:hAnsi="Times New Roman" w:eastAsia="仿宋_GB2312" w:cs="Times New Roman"/>
          <w:color w:val="000000"/>
          <w:sz w:val="32"/>
          <w:szCs w:val="32"/>
        </w:rPr>
        <w:t>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根据预算绩效管理要求，本单位在年初预算编制阶段，对0个项目编制了绩效目标，预算执行过程中，选取0个项目开展绩效监控，年终执行完毕后，对0个项目开展了绩效目标完成情况自评。</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本单位无专项预算项目，因此未组织开展项目支出绩效评价。</w:t>
      </w: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eastAsia="仿宋_GB2312" w:cs="Times New Roman"/>
          <w:sz w:val="32"/>
          <w:szCs w:val="32"/>
          <w:highlight w:val="none"/>
        </w:rPr>
      </w:pPr>
    </w:p>
    <w:p>
      <w:pPr>
        <w:pStyle w:val="2"/>
        <w:rPr>
          <w:rFonts w:hint="default" w:ascii="Times New Roman" w:hAnsi="Times New Roman" w:cs="Times New Roman"/>
        </w:rPr>
      </w:pPr>
    </w:p>
    <w:p>
      <w:pPr>
        <w:numPr>
          <w:ilvl w:val="0"/>
          <w:numId w:val="5"/>
        </w:numPr>
        <w:spacing w:line="600" w:lineRule="exact"/>
        <w:ind w:firstLine="660" w:firstLineChars="150"/>
        <w:jc w:val="center"/>
        <w:outlineLvl w:val="0"/>
        <w:rPr>
          <w:rStyle w:val="17"/>
          <w:rFonts w:hint="default" w:ascii="Times New Roman" w:hAnsi="Times New Roman" w:eastAsia="黑体" w:cs="Times New Roman"/>
          <w:b w:val="0"/>
        </w:rPr>
      </w:pPr>
      <w:bookmarkStart w:id="49" w:name="_Toc15377225"/>
      <w:bookmarkStart w:id="50" w:name="_Toc15396613"/>
      <w:r>
        <w:rPr>
          <w:rFonts w:hint="default" w:ascii="Times New Roman" w:hAnsi="Times New Roman" w:eastAsia="黑体" w:cs="Times New Roman"/>
          <w:color w:val="000000"/>
          <w:sz w:val="44"/>
          <w:szCs w:val="44"/>
        </w:rPr>
        <w:t>名</w:t>
      </w:r>
      <w:r>
        <w:rPr>
          <w:rStyle w:val="17"/>
          <w:rFonts w:hint="default" w:ascii="Times New Roman" w:hAnsi="Times New Roman" w:eastAsia="黑体" w:cs="Times New Roman"/>
          <w:b w:val="0"/>
        </w:rPr>
        <w:t>词解释</w:t>
      </w:r>
      <w:bookmarkEnd w:id="49"/>
      <w:bookmarkEnd w:id="50"/>
    </w:p>
    <w:p>
      <w:pPr>
        <w:spacing w:line="600" w:lineRule="exact"/>
        <w:jc w:val="left"/>
        <w:rPr>
          <w:rFonts w:hint="default" w:ascii="Times New Roman" w:hAnsi="Times New Roman" w:cs="Times New Roman"/>
          <w:b/>
          <w:color w:val="000000"/>
          <w:sz w:val="44"/>
          <w:szCs w:val="44"/>
        </w:rPr>
      </w:pP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2.事业收入：指事业单位开展专业业务活动及辅助活动取得的收入。</w:t>
      </w: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3.其他收入：指单位取得的除上述收入以外的各项收入。</w:t>
      </w: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4.年初结转和结余：指以前年度尚未完成、结转到本年按有关规定继续使用的资金。</w:t>
      </w:r>
    </w:p>
    <w:p>
      <w:pPr>
        <w:pStyle w:val="24"/>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rPr>
        <w:t>末结转和结余：指单位按有关规定结转到下年或以后年度继续使用的资金。</w:t>
      </w:r>
    </w:p>
    <w:p>
      <w:pPr>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.教育支出（类）进修及培训（款）培训支出（项）: 反映各部门安排的用于培训的支出。反映各部门安排的用于培训的支出。</w:t>
      </w:r>
    </w:p>
    <w:p>
      <w:pPr>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.社会保障和就业支出（类）民政管理事务（款）其他民政管理事务支出（项）</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反映民政部门接待来访、法制建设、政策宣传方面的支出，以及社会救助、社会福利、婚姻登记、社会事务、信息化建设等专项业务的支出。 </w:t>
      </w:r>
    </w:p>
    <w:p>
      <w:pPr>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.社会保障和就业支出（类）行政事业单位养老支出（款）机关事业单位基本养老保险缴费支</w:t>
      </w:r>
      <w:r>
        <w:rPr>
          <w:rFonts w:hint="default" w:ascii="Times New Roman" w:hAnsi="Times New Roman" w:eastAsia="仿宋_GB2312" w:cs="Times New Roman"/>
          <w:color w:val="000000"/>
          <w:sz w:val="32"/>
          <w:szCs w:val="32"/>
          <w:highlight w:val="none"/>
        </w:rPr>
        <w:t>出（项）</w:t>
      </w:r>
      <w:r>
        <w:rPr>
          <w:rFonts w:hint="eastAsia"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反映机</w:t>
      </w:r>
      <w:r>
        <w:rPr>
          <w:rFonts w:hint="default" w:ascii="Times New Roman" w:hAnsi="Times New Roman" w:eastAsia="仿宋_GB2312" w:cs="Times New Roman"/>
          <w:color w:val="000000"/>
          <w:sz w:val="32"/>
          <w:szCs w:val="32"/>
        </w:rPr>
        <w:t>关事业单位实施养老保险制度由单位缴纳的基本养老保险费支出。</w:t>
      </w:r>
    </w:p>
    <w:p>
      <w:pPr>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.社会保障和就业支出（类）行政事业单位养老支出（款）机关事业单位职业年金缴费支出（项）</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反映机关事业单位实施养老保险制度由单位实际缴纳的职业年金支出。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卫生健康支出（类）行政事业单位医疗（款）事业单位医疗（项）：反映财政部门集中安排的事业单位基本医疗保险缴费经费，未参加医疗保险的事业单位的公费医疗经费，按国家规定享受离休人员待遇的医疗经费。</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.项目支出：指在基本支出之外为完成特定行政任务和事业发展目标所发生的支出。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2640" w:firstLineChars="600"/>
        <w:jc w:val="both"/>
        <w:outlineLvl w:val="0"/>
        <w:rPr>
          <w:rStyle w:val="17"/>
          <w:rFonts w:hint="default" w:ascii="Times New Roman" w:hAnsi="Times New Roman" w:eastAsia="黑体" w:cs="Times New Roman"/>
          <w:b w:val="0"/>
        </w:rPr>
      </w:pPr>
      <w:bookmarkStart w:id="51" w:name="_Toc15396614"/>
      <w:bookmarkStart w:id="52" w:name="_Toc15377226"/>
      <w:bookmarkStart w:id="67" w:name="_GoBack"/>
      <w:bookmarkEnd w:id="67"/>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四部分 附件</w:t>
      </w:r>
      <w:bookmarkEnd w:id="51"/>
    </w:p>
    <w:p>
      <w:pPr>
        <w:spacing w:line="580" w:lineRule="exact"/>
        <w:rPr>
          <w:rFonts w:hint="default" w:ascii="Times New Roman" w:hAnsi="Times New Roman" w:eastAsia="仿宋_GB2312" w:cs="Times New Roman"/>
          <w:sz w:val="32"/>
          <w:szCs w:val="32"/>
        </w:rPr>
      </w:pPr>
    </w:p>
    <w:p>
      <w:pPr>
        <w:pStyle w:val="2"/>
        <w:ind w:firstLine="640" w:firstLineChars="200"/>
        <w:rPr>
          <w:rFonts w:hint="default" w:ascii="Times New Roman" w:hAnsi="Times New Roman" w:cs="Times New Roman"/>
        </w:rPr>
      </w:pPr>
      <w:r>
        <w:rPr>
          <w:rFonts w:hint="eastAsia" w:ascii="Times New Roman" w:cs="Times New Roman"/>
          <w:color w:val="auto"/>
          <w:sz w:val="32"/>
          <w:szCs w:val="32"/>
          <w:lang w:val="en-US" w:eastAsia="zh-CN"/>
        </w:rPr>
        <w:t>我单位未</w:t>
      </w:r>
      <w:r>
        <w:rPr>
          <w:rFonts w:hint="default" w:ascii="Times New Roman" w:hAnsi="Times New Roman" w:eastAsia="仿宋_GB2312" w:cs="Times New Roman"/>
          <w:color w:val="auto"/>
          <w:sz w:val="32"/>
          <w:szCs w:val="32"/>
        </w:rPr>
        <w:t>开展项目支出绩效</w:t>
      </w:r>
      <w:r>
        <w:rPr>
          <w:rFonts w:hint="eastAsia" w:ascii="Times New Roman" w:cs="Times New Roman"/>
          <w:color w:val="auto"/>
          <w:sz w:val="32"/>
          <w:szCs w:val="32"/>
          <w:lang w:val="en-US" w:eastAsia="zh-CN"/>
        </w:rPr>
        <w:t>自评</w:t>
      </w:r>
      <w:r>
        <w:rPr>
          <w:rFonts w:hint="default" w:ascii="Times New Roman" w:hAnsi="Times New Roman" w:eastAsia="仿宋_GB2312" w:cs="Times New Roman"/>
          <w:color w:val="auto"/>
          <w:sz w:val="32"/>
          <w:szCs w:val="32"/>
        </w:rPr>
        <w:t>。</w:t>
      </w:r>
    </w:p>
    <w:p>
      <w:pPr>
        <w:pStyle w:val="2"/>
        <w:spacing w:before="93"/>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color w:val="000000"/>
          <w:sz w:val="44"/>
          <w:szCs w:val="44"/>
        </w:rPr>
      </w:pPr>
      <w:bookmarkStart w:id="53" w:name="_Toc15396618"/>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pStyle w:val="2"/>
        <w:rPr>
          <w:rFonts w:hint="default"/>
        </w:rPr>
      </w:pPr>
    </w:p>
    <w:p>
      <w:pPr>
        <w:spacing w:line="600" w:lineRule="exact"/>
        <w:jc w:val="center"/>
        <w:outlineLvl w:val="0"/>
        <w:rPr>
          <w:rFonts w:hint="default" w:ascii="Times New Roman" w:hAnsi="Times New Roman" w:eastAsia="黑体" w:cs="Times New Roman"/>
          <w:color w:val="000000"/>
          <w:sz w:val="44"/>
          <w:szCs w:val="44"/>
        </w:rPr>
      </w:pPr>
    </w:p>
    <w:p>
      <w:pPr>
        <w:pStyle w:val="2"/>
        <w:rPr>
          <w:rFonts w:hint="default"/>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黑体" w:cs="Times New Roman"/>
          <w:color w:val="000000"/>
          <w:sz w:val="44"/>
          <w:szCs w:val="44"/>
        </w:rPr>
      </w:pPr>
    </w:p>
    <w:p>
      <w:pPr>
        <w:spacing w:line="600" w:lineRule="exact"/>
        <w:jc w:val="center"/>
        <w:outlineLvl w:val="0"/>
        <w:rPr>
          <w:rFonts w:hint="default" w:ascii="Times New Roman" w:hAnsi="Times New Roman" w:eastAsia="仿宋" w:cs="Times New Roman"/>
          <w:color w:val="000000"/>
        </w:rPr>
      </w:pPr>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五部分附表</w:t>
      </w:r>
      <w:bookmarkEnd w:id="52"/>
      <w:bookmarkEnd w:id="53"/>
      <w:bookmarkStart w:id="54" w:name="_Toc15396619"/>
    </w:p>
    <w:p>
      <w:pPr>
        <w:pStyle w:val="4"/>
        <w:rPr>
          <w:rFonts w:hint="default" w:ascii="Times New Roman" w:hAnsi="Times New Roman" w:eastAsia="仿宋" w:cs="Times New Roman"/>
          <w:color w:val="000000"/>
        </w:rPr>
      </w:pPr>
      <w:r>
        <w:rPr>
          <w:rFonts w:hint="default" w:ascii="Times New Roman" w:hAnsi="Times New Roman" w:eastAsia="仿宋" w:cs="Times New Roman"/>
          <w:b w:val="0"/>
          <w:color w:val="000000"/>
        </w:rPr>
        <w:t>一、收</w:t>
      </w:r>
      <w:r>
        <w:rPr>
          <w:rStyle w:val="26"/>
          <w:rFonts w:hint="default" w:ascii="Times New Roman" w:hAnsi="Times New Roman" w:eastAsia="仿宋" w:cs="Times New Roman"/>
          <w:b w:val="0"/>
          <w:bCs w:val="0"/>
        </w:rPr>
        <w:t>入支出决算总表</w:t>
      </w:r>
      <w:bookmarkEnd w:id="54"/>
    </w:p>
    <w:p>
      <w:pPr>
        <w:pStyle w:val="4"/>
        <w:rPr>
          <w:rFonts w:hint="default" w:ascii="Times New Roman" w:hAnsi="Times New Roman" w:eastAsia="仿宋" w:cs="Times New Roman"/>
          <w:color w:val="000000"/>
        </w:rPr>
      </w:pPr>
      <w:bookmarkStart w:id="55" w:name="_Toc15396620"/>
      <w:r>
        <w:rPr>
          <w:rFonts w:hint="default" w:ascii="Times New Roman" w:hAnsi="Times New Roman" w:eastAsia="仿宋" w:cs="Times New Roman"/>
          <w:b w:val="0"/>
          <w:color w:val="000000"/>
        </w:rPr>
        <w:t>二、收</w:t>
      </w:r>
      <w:r>
        <w:rPr>
          <w:rStyle w:val="26"/>
          <w:rFonts w:hint="default" w:ascii="Times New Roman" w:hAnsi="Times New Roman" w:eastAsia="仿宋" w:cs="Times New Roman"/>
          <w:b w:val="0"/>
          <w:bCs w:val="0"/>
        </w:rPr>
        <w:t>入决算表</w:t>
      </w:r>
      <w:bookmarkEnd w:id="55"/>
    </w:p>
    <w:p>
      <w:pPr>
        <w:pStyle w:val="4"/>
        <w:rPr>
          <w:rFonts w:hint="default" w:ascii="Times New Roman" w:hAnsi="Times New Roman" w:eastAsia="仿宋" w:cs="Times New Roman"/>
          <w:color w:val="000000"/>
        </w:rPr>
      </w:pPr>
      <w:bookmarkStart w:id="56" w:name="_Toc15396621"/>
      <w:r>
        <w:rPr>
          <w:rStyle w:val="26"/>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6"/>
          <w:rFonts w:hint="default" w:ascii="Times New Roman" w:hAnsi="Times New Roman" w:eastAsia="仿宋" w:cs="Times New Roman"/>
          <w:b w:val="0"/>
          <w:bCs w:val="0"/>
        </w:rPr>
        <w:t>出决算表</w:t>
      </w:r>
      <w:bookmarkEnd w:id="56"/>
    </w:p>
    <w:p>
      <w:pPr>
        <w:pStyle w:val="4"/>
        <w:rPr>
          <w:rFonts w:hint="default" w:ascii="Times New Roman" w:hAnsi="Times New Roman" w:eastAsia="仿宋" w:cs="Times New Roman"/>
          <w:b w:val="0"/>
          <w:color w:val="000000"/>
        </w:rPr>
      </w:pPr>
      <w:bookmarkStart w:id="57" w:name="_Toc15396622"/>
      <w:r>
        <w:rPr>
          <w:rStyle w:val="26"/>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政拨款收入支出决算总表</w:t>
      </w:r>
      <w:bookmarkEnd w:id="57"/>
    </w:p>
    <w:p>
      <w:pPr>
        <w:pStyle w:val="4"/>
        <w:rPr>
          <w:rStyle w:val="26"/>
          <w:rFonts w:hint="default" w:ascii="Times New Roman" w:hAnsi="Times New Roman" w:eastAsia="仿宋" w:cs="Times New Roman"/>
          <w:b w:val="0"/>
          <w:bCs w:val="0"/>
        </w:rPr>
      </w:pPr>
      <w:bookmarkStart w:id="58" w:name="_Toc15396623"/>
      <w:r>
        <w:rPr>
          <w:rStyle w:val="26"/>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政拨款支出决算明细表</w:t>
      </w:r>
      <w:bookmarkEnd w:id="58"/>
      <w:bookmarkStart w:id="59" w:name="_Toc15396624"/>
    </w:p>
    <w:p>
      <w:pPr>
        <w:pStyle w:val="4"/>
        <w:rPr>
          <w:rFonts w:hint="default" w:ascii="Times New Roman" w:hAnsi="Times New Roman" w:eastAsia="仿宋" w:cs="Times New Roman"/>
          <w:color w:val="000000"/>
        </w:rPr>
      </w:pPr>
      <w:r>
        <w:rPr>
          <w:rStyle w:val="26"/>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般公共预算财政拨款支出决算表</w:t>
      </w:r>
      <w:bookmarkEnd w:id="59"/>
    </w:p>
    <w:p>
      <w:pPr>
        <w:pStyle w:val="4"/>
        <w:rPr>
          <w:rFonts w:hint="default" w:ascii="Times New Roman" w:hAnsi="Times New Roman" w:eastAsia="仿宋" w:cs="Times New Roman"/>
          <w:color w:val="000000"/>
        </w:rPr>
      </w:pPr>
      <w:bookmarkStart w:id="60" w:name="_Toc15396625"/>
      <w:r>
        <w:rPr>
          <w:rStyle w:val="26"/>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般公共预算财政拨款支出决算明细表</w:t>
      </w:r>
      <w:bookmarkEnd w:id="60"/>
    </w:p>
    <w:p>
      <w:pPr>
        <w:pStyle w:val="4"/>
        <w:rPr>
          <w:rFonts w:hint="default" w:ascii="Times New Roman" w:hAnsi="Times New Roman" w:eastAsia="仿宋" w:cs="Times New Roman"/>
          <w:color w:val="000000"/>
        </w:rPr>
      </w:pPr>
      <w:bookmarkStart w:id="61" w:name="_Toc15396626"/>
      <w:r>
        <w:rPr>
          <w:rStyle w:val="26"/>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般公共预算财政拨款基本支出决算表</w:t>
      </w:r>
      <w:bookmarkEnd w:id="61"/>
    </w:p>
    <w:p>
      <w:pPr>
        <w:pStyle w:val="4"/>
        <w:rPr>
          <w:rFonts w:hint="default" w:ascii="Times New Roman" w:hAnsi="Times New Roman" w:eastAsia="仿宋" w:cs="Times New Roman"/>
          <w:color w:val="000000"/>
        </w:rPr>
      </w:pPr>
      <w:bookmarkStart w:id="62" w:name="_Toc15396627"/>
      <w:r>
        <w:rPr>
          <w:rStyle w:val="26"/>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般公共预算财政拨款项目支出决算表</w:t>
      </w:r>
      <w:bookmarkEnd w:id="62"/>
    </w:p>
    <w:p>
      <w:pPr>
        <w:pStyle w:val="4"/>
        <w:rPr>
          <w:rFonts w:hint="default" w:ascii="Times New Roman" w:hAnsi="Times New Roman" w:eastAsia="仿宋" w:cs="Times New Roman"/>
          <w:color w:val="000000"/>
        </w:rPr>
      </w:pPr>
      <w:bookmarkStart w:id="63" w:name="_Toc15396628"/>
      <w:r>
        <w:rPr>
          <w:rStyle w:val="26"/>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般公共预算财政拨款“三公”经费支出决算表</w:t>
      </w:r>
      <w:bookmarkEnd w:id="63"/>
    </w:p>
    <w:p>
      <w:pPr>
        <w:pStyle w:val="4"/>
        <w:rPr>
          <w:rFonts w:hint="default" w:ascii="Times New Roman" w:hAnsi="Times New Roman" w:eastAsia="仿宋" w:cs="Times New Roman"/>
          <w:color w:val="000000"/>
        </w:rPr>
      </w:pPr>
      <w:bookmarkStart w:id="64" w:name="_Toc15396629"/>
      <w:r>
        <w:rPr>
          <w:rStyle w:val="26"/>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府性基金预算财政拨款收入支出决算表</w:t>
      </w:r>
      <w:bookmarkEnd w:id="64"/>
    </w:p>
    <w:p>
      <w:pPr>
        <w:pStyle w:val="4"/>
        <w:rPr>
          <w:rFonts w:hint="default" w:ascii="Times New Roman" w:hAnsi="Times New Roman" w:eastAsia="仿宋" w:cs="Times New Roman"/>
          <w:color w:val="000000"/>
        </w:rPr>
      </w:pPr>
      <w:bookmarkStart w:id="65" w:name="_Toc15396630"/>
      <w:r>
        <w:rPr>
          <w:rStyle w:val="26"/>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府性基金预算财政拨款“三公”经费支出决算表</w:t>
      </w:r>
      <w:bookmarkEnd w:id="65"/>
    </w:p>
    <w:p>
      <w:pPr>
        <w:pStyle w:val="4"/>
        <w:rPr>
          <w:rStyle w:val="26"/>
          <w:rFonts w:hint="default" w:ascii="Times New Roman" w:hAnsi="Times New Roman" w:eastAsia="仿宋" w:cs="Times New Roman"/>
          <w:b w:val="0"/>
          <w:bCs w:val="0"/>
        </w:rPr>
      </w:pPr>
      <w:bookmarkStart w:id="66" w:name="_Toc15396631"/>
      <w:r>
        <w:rPr>
          <w:rStyle w:val="26"/>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6"/>
          <w:rFonts w:hint="default" w:ascii="Times New Roman" w:hAnsi="Times New Roman" w:eastAsia="仿宋" w:cs="Times New Roman"/>
          <w:b w:val="0"/>
          <w:bCs w:val="0"/>
        </w:rPr>
        <w:t>有资本经营预算财政拨款收入支出决算表</w:t>
      </w:r>
      <w:bookmarkEnd w:id="66"/>
    </w:p>
    <w:p>
      <w:pPr>
        <w:rPr>
          <w:rFonts w:hint="default" w:ascii="Times New Roman" w:hAnsi="Times New Roman" w:eastAsia="仿宋" w:cs="Times New Roman"/>
        </w:rPr>
      </w:pPr>
      <w:r>
        <w:rPr>
          <w:rStyle w:val="26"/>
          <w:rFonts w:hint="default" w:ascii="Times New Roman" w:hAnsi="Times New Roman" w:eastAsia="仿宋" w:cs="Times New Roman"/>
          <w:b w:val="0"/>
          <w:bCs w:val="0"/>
        </w:rPr>
        <w:t>十四、国有资本经营预算财政拨款支出决算表</w:t>
      </w:r>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147B941"/>
    <w:multiLevelType w:val="singleLevel"/>
    <w:tmpl w:val="D147B941"/>
    <w:lvl w:ilvl="0" w:tentative="0">
      <w:start w:val="1"/>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5EF1496"/>
    <w:multiLevelType w:val="multilevel"/>
    <w:tmpl w:val="15EF149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37E8"/>
    <w:rsid w:val="000133D7"/>
    <w:rsid w:val="000222C6"/>
    <w:rsid w:val="0002549F"/>
    <w:rsid w:val="000468DB"/>
    <w:rsid w:val="0006487A"/>
    <w:rsid w:val="00065F8F"/>
    <w:rsid w:val="00070A43"/>
    <w:rsid w:val="000768F2"/>
    <w:rsid w:val="00082120"/>
    <w:rsid w:val="0009184B"/>
    <w:rsid w:val="00094236"/>
    <w:rsid w:val="0009593C"/>
    <w:rsid w:val="00097322"/>
    <w:rsid w:val="000A6A92"/>
    <w:rsid w:val="000B047F"/>
    <w:rsid w:val="000B5923"/>
    <w:rsid w:val="000B5A48"/>
    <w:rsid w:val="000B6FF3"/>
    <w:rsid w:val="000C02F1"/>
    <w:rsid w:val="000C3467"/>
    <w:rsid w:val="000C3CA6"/>
    <w:rsid w:val="000D1267"/>
    <w:rsid w:val="000D1D50"/>
    <w:rsid w:val="000D2E4D"/>
    <w:rsid w:val="000D5782"/>
    <w:rsid w:val="000D7505"/>
    <w:rsid w:val="000E6613"/>
    <w:rsid w:val="000E7119"/>
    <w:rsid w:val="00114E9B"/>
    <w:rsid w:val="00127159"/>
    <w:rsid w:val="00131B03"/>
    <w:rsid w:val="00142216"/>
    <w:rsid w:val="00144D6A"/>
    <w:rsid w:val="00146198"/>
    <w:rsid w:val="0014729F"/>
    <w:rsid w:val="00157BAB"/>
    <w:rsid w:val="00164544"/>
    <w:rsid w:val="001654D1"/>
    <w:rsid w:val="00174518"/>
    <w:rsid w:val="0018106D"/>
    <w:rsid w:val="001877A7"/>
    <w:rsid w:val="001900EF"/>
    <w:rsid w:val="00191536"/>
    <w:rsid w:val="00196687"/>
    <w:rsid w:val="001A5257"/>
    <w:rsid w:val="001B5D87"/>
    <w:rsid w:val="001C0962"/>
    <w:rsid w:val="001D7531"/>
    <w:rsid w:val="001E737D"/>
    <w:rsid w:val="001F0592"/>
    <w:rsid w:val="001F7506"/>
    <w:rsid w:val="002006CD"/>
    <w:rsid w:val="00202B36"/>
    <w:rsid w:val="00204B7A"/>
    <w:rsid w:val="00204CDE"/>
    <w:rsid w:val="0021101A"/>
    <w:rsid w:val="00212601"/>
    <w:rsid w:val="00220536"/>
    <w:rsid w:val="00222562"/>
    <w:rsid w:val="00224A9A"/>
    <w:rsid w:val="0023413F"/>
    <w:rsid w:val="00235629"/>
    <w:rsid w:val="002411D2"/>
    <w:rsid w:val="00260C38"/>
    <w:rsid w:val="002616C0"/>
    <w:rsid w:val="00265372"/>
    <w:rsid w:val="00266093"/>
    <w:rsid w:val="002662AA"/>
    <w:rsid w:val="002771C8"/>
    <w:rsid w:val="00280496"/>
    <w:rsid w:val="0028180E"/>
    <w:rsid w:val="00294DC9"/>
    <w:rsid w:val="00295495"/>
    <w:rsid w:val="002A31DE"/>
    <w:rsid w:val="002B0151"/>
    <w:rsid w:val="002B2613"/>
    <w:rsid w:val="002D6D05"/>
    <w:rsid w:val="002F1818"/>
    <w:rsid w:val="002F567B"/>
    <w:rsid w:val="00310282"/>
    <w:rsid w:val="003216A9"/>
    <w:rsid w:val="003248EA"/>
    <w:rsid w:val="00335A74"/>
    <w:rsid w:val="00342634"/>
    <w:rsid w:val="0036561B"/>
    <w:rsid w:val="003658FF"/>
    <w:rsid w:val="0037013F"/>
    <w:rsid w:val="00373049"/>
    <w:rsid w:val="00380C92"/>
    <w:rsid w:val="003A484F"/>
    <w:rsid w:val="003A4883"/>
    <w:rsid w:val="003B0BE0"/>
    <w:rsid w:val="003B0C1B"/>
    <w:rsid w:val="003B688C"/>
    <w:rsid w:val="003C0291"/>
    <w:rsid w:val="003C39AE"/>
    <w:rsid w:val="003C4240"/>
    <w:rsid w:val="003C7B60"/>
    <w:rsid w:val="003D0C0F"/>
    <w:rsid w:val="003D1FB2"/>
    <w:rsid w:val="003D5CA8"/>
    <w:rsid w:val="003D66DA"/>
    <w:rsid w:val="003E1310"/>
    <w:rsid w:val="003E6F55"/>
    <w:rsid w:val="00406254"/>
    <w:rsid w:val="00417679"/>
    <w:rsid w:val="004223DE"/>
    <w:rsid w:val="00433C59"/>
    <w:rsid w:val="00434489"/>
    <w:rsid w:val="00437085"/>
    <w:rsid w:val="00443880"/>
    <w:rsid w:val="004464F4"/>
    <w:rsid w:val="00464882"/>
    <w:rsid w:val="00471401"/>
    <w:rsid w:val="00473F31"/>
    <w:rsid w:val="0048263A"/>
    <w:rsid w:val="00487E5D"/>
    <w:rsid w:val="00492022"/>
    <w:rsid w:val="004A711F"/>
    <w:rsid w:val="004B199D"/>
    <w:rsid w:val="004B376D"/>
    <w:rsid w:val="004B4690"/>
    <w:rsid w:val="004C1BD2"/>
    <w:rsid w:val="004E0A2D"/>
    <w:rsid w:val="004E206B"/>
    <w:rsid w:val="004E6DF7"/>
    <w:rsid w:val="004F0FBD"/>
    <w:rsid w:val="004F11EC"/>
    <w:rsid w:val="004F4335"/>
    <w:rsid w:val="00505A47"/>
    <w:rsid w:val="00512FDA"/>
    <w:rsid w:val="005144B1"/>
    <w:rsid w:val="00520DA0"/>
    <w:rsid w:val="00555C4F"/>
    <w:rsid w:val="005664BB"/>
    <w:rsid w:val="00566FFA"/>
    <w:rsid w:val="0057481D"/>
    <w:rsid w:val="0058486E"/>
    <w:rsid w:val="00585B33"/>
    <w:rsid w:val="0059014D"/>
    <w:rsid w:val="00592FBD"/>
    <w:rsid w:val="00596E13"/>
    <w:rsid w:val="005A05C3"/>
    <w:rsid w:val="005B5C64"/>
    <w:rsid w:val="005B5D98"/>
    <w:rsid w:val="005C5014"/>
    <w:rsid w:val="005C5337"/>
    <w:rsid w:val="005C6BD0"/>
    <w:rsid w:val="005D1C8B"/>
    <w:rsid w:val="005D468D"/>
    <w:rsid w:val="005D5CED"/>
    <w:rsid w:val="005F1A4C"/>
    <w:rsid w:val="00605688"/>
    <w:rsid w:val="006070AF"/>
    <w:rsid w:val="00607E6C"/>
    <w:rsid w:val="006101B1"/>
    <w:rsid w:val="00614E44"/>
    <w:rsid w:val="0062270A"/>
    <w:rsid w:val="00622830"/>
    <w:rsid w:val="00623CD7"/>
    <w:rsid w:val="00623DA0"/>
    <w:rsid w:val="00630AEF"/>
    <w:rsid w:val="006325F8"/>
    <w:rsid w:val="00633463"/>
    <w:rsid w:val="00634C9A"/>
    <w:rsid w:val="00637696"/>
    <w:rsid w:val="0064304C"/>
    <w:rsid w:val="006440E4"/>
    <w:rsid w:val="0066343B"/>
    <w:rsid w:val="00664777"/>
    <w:rsid w:val="006748A4"/>
    <w:rsid w:val="00674B1D"/>
    <w:rsid w:val="00681A31"/>
    <w:rsid w:val="00683E73"/>
    <w:rsid w:val="006956C8"/>
    <w:rsid w:val="006A3141"/>
    <w:rsid w:val="006A5E34"/>
    <w:rsid w:val="006A7028"/>
    <w:rsid w:val="006B2422"/>
    <w:rsid w:val="006B2B9A"/>
    <w:rsid w:val="006C1937"/>
    <w:rsid w:val="006C1A0F"/>
    <w:rsid w:val="006D1B17"/>
    <w:rsid w:val="006E72A1"/>
    <w:rsid w:val="006F020C"/>
    <w:rsid w:val="00702FFE"/>
    <w:rsid w:val="007127B7"/>
    <w:rsid w:val="0071798E"/>
    <w:rsid w:val="00722559"/>
    <w:rsid w:val="0073017B"/>
    <w:rsid w:val="00730470"/>
    <w:rsid w:val="007404F2"/>
    <w:rsid w:val="007416B6"/>
    <w:rsid w:val="00746F48"/>
    <w:rsid w:val="0075404D"/>
    <w:rsid w:val="0076182A"/>
    <w:rsid w:val="00767B7E"/>
    <w:rsid w:val="007770C3"/>
    <w:rsid w:val="00784D24"/>
    <w:rsid w:val="00785FBA"/>
    <w:rsid w:val="00786E4A"/>
    <w:rsid w:val="007875EB"/>
    <w:rsid w:val="0079426B"/>
    <w:rsid w:val="007A1A13"/>
    <w:rsid w:val="007D1682"/>
    <w:rsid w:val="007D312A"/>
    <w:rsid w:val="007D3F19"/>
    <w:rsid w:val="007E23B0"/>
    <w:rsid w:val="007E23E5"/>
    <w:rsid w:val="007F1991"/>
    <w:rsid w:val="007F2C2F"/>
    <w:rsid w:val="007F55FC"/>
    <w:rsid w:val="007F5665"/>
    <w:rsid w:val="00800112"/>
    <w:rsid w:val="00804457"/>
    <w:rsid w:val="008117AD"/>
    <w:rsid w:val="00813348"/>
    <w:rsid w:val="00824EF2"/>
    <w:rsid w:val="008253BB"/>
    <w:rsid w:val="008306B4"/>
    <w:rsid w:val="0083706E"/>
    <w:rsid w:val="008408F6"/>
    <w:rsid w:val="00841326"/>
    <w:rsid w:val="008423A5"/>
    <w:rsid w:val="008452ED"/>
    <w:rsid w:val="00850625"/>
    <w:rsid w:val="00853718"/>
    <w:rsid w:val="00853AEC"/>
    <w:rsid w:val="00853EAE"/>
    <w:rsid w:val="00855221"/>
    <w:rsid w:val="00860645"/>
    <w:rsid w:val="0086498D"/>
    <w:rsid w:val="00871F71"/>
    <w:rsid w:val="00872FD8"/>
    <w:rsid w:val="0087671C"/>
    <w:rsid w:val="00882D36"/>
    <w:rsid w:val="00885AF4"/>
    <w:rsid w:val="008916F6"/>
    <w:rsid w:val="008939CD"/>
    <w:rsid w:val="008B768C"/>
    <w:rsid w:val="008C4DB1"/>
    <w:rsid w:val="008C4EAF"/>
    <w:rsid w:val="008C5176"/>
    <w:rsid w:val="008C7FD0"/>
    <w:rsid w:val="008D34F2"/>
    <w:rsid w:val="008E1DE7"/>
    <w:rsid w:val="008E707C"/>
    <w:rsid w:val="008F2DBF"/>
    <w:rsid w:val="00900B08"/>
    <w:rsid w:val="00902155"/>
    <w:rsid w:val="00902FA3"/>
    <w:rsid w:val="009165E9"/>
    <w:rsid w:val="00923564"/>
    <w:rsid w:val="0092392E"/>
    <w:rsid w:val="009315F9"/>
    <w:rsid w:val="00933499"/>
    <w:rsid w:val="00935C98"/>
    <w:rsid w:val="00943252"/>
    <w:rsid w:val="0094416E"/>
    <w:rsid w:val="00946945"/>
    <w:rsid w:val="009509DF"/>
    <w:rsid w:val="00951248"/>
    <w:rsid w:val="0095152F"/>
    <w:rsid w:val="00954C49"/>
    <w:rsid w:val="00955E37"/>
    <w:rsid w:val="0096498E"/>
    <w:rsid w:val="0097099F"/>
    <w:rsid w:val="00971997"/>
    <w:rsid w:val="00971FFC"/>
    <w:rsid w:val="0098641C"/>
    <w:rsid w:val="0098660A"/>
    <w:rsid w:val="0099096A"/>
    <w:rsid w:val="009931C3"/>
    <w:rsid w:val="0099563F"/>
    <w:rsid w:val="009B2C43"/>
    <w:rsid w:val="009B4EAE"/>
    <w:rsid w:val="009B7573"/>
    <w:rsid w:val="009C22F4"/>
    <w:rsid w:val="009C2A4B"/>
    <w:rsid w:val="009C2E98"/>
    <w:rsid w:val="009D135D"/>
    <w:rsid w:val="009D3447"/>
    <w:rsid w:val="009D4711"/>
    <w:rsid w:val="009F1185"/>
    <w:rsid w:val="009F18CD"/>
    <w:rsid w:val="009F2A13"/>
    <w:rsid w:val="009F534D"/>
    <w:rsid w:val="009F7527"/>
    <w:rsid w:val="00A04EB0"/>
    <w:rsid w:val="00A13CC1"/>
    <w:rsid w:val="00A16847"/>
    <w:rsid w:val="00A237D8"/>
    <w:rsid w:val="00A268C4"/>
    <w:rsid w:val="00A307CD"/>
    <w:rsid w:val="00A331C8"/>
    <w:rsid w:val="00A40A00"/>
    <w:rsid w:val="00A4142F"/>
    <w:rsid w:val="00A422EB"/>
    <w:rsid w:val="00A45BB7"/>
    <w:rsid w:val="00A468BB"/>
    <w:rsid w:val="00A56DF2"/>
    <w:rsid w:val="00A56E6E"/>
    <w:rsid w:val="00A67AB5"/>
    <w:rsid w:val="00A733B2"/>
    <w:rsid w:val="00A741C2"/>
    <w:rsid w:val="00A753F8"/>
    <w:rsid w:val="00A91760"/>
    <w:rsid w:val="00A931C2"/>
    <w:rsid w:val="00A93B00"/>
    <w:rsid w:val="00A93C21"/>
    <w:rsid w:val="00AA2736"/>
    <w:rsid w:val="00AB64C9"/>
    <w:rsid w:val="00AC3C6A"/>
    <w:rsid w:val="00AC5183"/>
    <w:rsid w:val="00AD5620"/>
    <w:rsid w:val="00AD656B"/>
    <w:rsid w:val="00AD7C1B"/>
    <w:rsid w:val="00AE16BA"/>
    <w:rsid w:val="00AE1EBE"/>
    <w:rsid w:val="00AE30C9"/>
    <w:rsid w:val="00AF1751"/>
    <w:rsid w:val="00B03C9D"/>
    <w:rsid w:val="00B060AE"/>
    <w:rsid w:val="00B10517"/>
    <w:rsid w:val="00B14E76"/>
    <w:rsid w:val="00B161B8"/>
    <w:rsid w:val="00B2048C"/>
    <w:rsid w:val="00B310B9"/>
    <w:rsid w:val="00B35F3F"/>
    <w:rsid w:val="00B36CBB"/>
    <w:rsid w:val="00B425E0"/>
    <w:rsid w:val="00B440AA"/>
    <w:rsid w:val="00B44B70"/>
    <w:rsid w:val="00B47CFB"/>
    <w:rsid w:val="00B5143C"/>
    <w:rsid w:val="00B53C56"/>
    <w:rsid w:val="00B55A36"/>
    <w:rsid w:val="00B57DAF"/>
    <w:rsid w:val="00B759E0"/>
    <w:rsid w:val="00B77EA6"/>
    <w:rsid w:val="00B81598"/>
    <w:rsid w:val="00B841F1"/>
    <w:rsid w:val="00B852CC"/>
    <w:rsid w:val="00B944D6"/>
    <w:rsid w:val="00BA0362"/>
    <w:rsid w:val="00BB073B"/>
    <w:rsid w:val="00BB4DF0"/>
    <w:rsid w:val="00BC289F"/>
    <w:rsid w:val="00BC2D50"/>
    <w:rsid w:val="00BC5361"/>
    <w:rsid w:val="00BC5460"/>
    <w:rsid w:val="00BC6B50"/>
    <w:rsid w:val="00BD0E25"/>
    <w:rsid w:val="00BE3E08"/>
    <w:rsid w:val="00BF5BD6"/>
    <w:rsid w:val="00C03E31"/>
    <w:rsid w:val="00C33E72"/>
    <w:rsid w:val="00C354B2"/>
    <w:rsid w:val="00C35554"/>
    <w:rsid w:val="00C42709"/>
    <w:rsid w:val="00C533CC"/>
    <w:rsid w:val="00C55B6F"/>
    <w:rsid w:val="00C5751C"/>
    <w:rsid w:val="00C61BFC"/>
    <w:rsid w:val="00C62B85"/>
    <w:rsid w:val="00C65438"/>
    <w:rsid w:val="00C66C13"/>
    <w:rsid w:val="00C87FD8"/>
    <w:rsid w:val="00C91381"/>
    <w:rsid w:val="00C91CBB"/>
    <w:rsid w:val="00CB4E70"/>
    <w:rsid w:val="00CC09B6"/>
    <w:rsid w:val="00CC666F"/>
    <w:rsid w:val="00CD1E3F"/>
    <w:rsid w:val="00CE22FC"/>
    <w:rsid w:val="00CE3E0E"/>
    <w:rsid w:val="00CE44F6"/>
    <w:rsid w:val="00CE49DA"/>
    <w:rsid w:val="00CE504B"/>
    <w:rsid w:val="00CE71DA"/>
    <w:rsid w:val="00CE7B61"/>
    <w:rsid w:val="00D00095"/>
    <w:rsid w:val="00D114F0"/>
    <w:rsid w:val="00D179B6"/>
    <w:rsid w:val="00D20620"/>
    <w:rsid w:val="00D20FE2"/>
    <w:rsid w:val="00D254F7"/>
    <w:rsid w:val="00D26091"/>
    <w:rsid w:val="00D2685C"/>
    <w:rsid w:val="00D34E7C"/>
    <w:rsid w:val="00D35489"/>
    <w:rsid w:val="00D36AFE"/>
    <w:rsid w:val="00D51276"/>
    <w:rsid w:val="00D7035F"/>
    <w:rsid w:val="00D76549"/>
    <w:rsid w:val="00DA634F"/>
    <w:rsid w:val="00DA65AC"/>
    <w:rsid w:val="00DB1913"/>
    <w:rsid w:val="00DC410D"/>
    <w:rsid w:val="00DC5A81"/>
    <w:rsid w:val="00DC68CA"/>
    <w:rsid w:val="00DC7CBA"/>
    <w:rsid w:val="00DD1F6C"/>
    <w:rsid w:val="00DD73B7"/>
    <w:rsid w:val="00DD7886"/>
    <w:rsid w:val="00DE11A2"/>
    <w:rsid w:val="00DE20FB"/>
    <w:rsid w:val="00DF28BC"/>
    <w:rsid w:val="00DF2EFE"/>
    <w:rsid w:val="00DF34B9"/>
    <w:rsid w:val="00E01053"/>
    <w:rsid w:val="00E01A6A"/>
    <w:rsid w:val="00E03839"/>
    <w:rsid w:val="00E03BD8"/>
    <w:rsid w:val="00E07ACF"/>
    <w:rsid w:val="00E13685"/>
    <w:rsid w:val="00E3117F"/>
    <w:rsid w:val="00E331A1"/>
    <w:rsid w:val="00E33202"/>
    <w:rsid w:val="00E336A9"/>
    <w:rsid w:val="00E472B1"/>
    <w:rsid w:val="00E50624"/>
    <w:rsid w:val="00E568DF"/>
    <w:rsid w:val="00E605A9"/>
    <w:rsid w:val="00E64269"/>
    <w:rsid w:val="00E82267"/>
    <w:rsid w:val="00E853CE"/>
    <w:rsid w:val="00E867B6"/>
    <w:rsid w:val="00E904ED"/>
    <w:rsid w:val="00E9097E"/>
    <w:rsid w:val="00E95FFB"/>
    <w:rsid w:val="00EA010F"/>
    <w:rsid w:val="00EA2FF2"/>
    <w:rsid w:val="00EA643B"/>
    <w:rsid w:val="00EB6F61"/>
    <w:rsid w:val="00ED1B63"/>
    <w:rsid w:val="00ED3C1F"/>
    <w:rsid w:val="00ED4085"/>
    <w:rsid w:val="00ED420E"/>
    <w:rsid w:val="00ED6FBE"/>
    <w:rsid w:val="00EE2F57"/>
    <w:rsid w:val="00EE3CCB"/>
    <w:rsid w:val="00EF4C34"/>
    <w:rsid w:val="00EF77C6"/>
    <w:rsid w:val="00F05438"/>
    <w:rsid w:val="00F1361C"/>
    <w:rsid w:val="00F15437"/>
    <w:rsid w:val="00F156F0"/>
    <w:rsid w:val="00F160C7"/>
    <w:rsid w:val="00F16295"/>
    <w:rsid w:val="00F2408F"/>
    <w:rsid w:val="00F240E9"/>
    <w:rsid w:val="00F36D8F"/>
    <w:rsid w:val="00F417B1"/>
    <w:rsid w:val="00F45853"/>
    <w:rsid w:val="00F5404D"/>
    <w:rsid w:val="00F55FCF"/>
    <w:rsid w:val="00F602DF"/>
    <w:rsid w:val="00F754A1"/>
    <w:rsid w:val="00F806FD"/>
    <w:rsid w:val="00F81FD9"/>
    <w:rsid w:val="00F841AA"/>
    <w:rsid w:val="00F84A94"/>
    <w:rsid w:val="00F84B0F"/>
    <w:rsid w:val="00F87E96"/>
    <w:rsid w:val="00F92D9F"/>
    <w:rsid w:val="00FA23E8"/>
    <w:rsid w:val="00FD3CC1"/>
    <w:rsid w:val="00FF1E02"/>
    <w:rsid w:val="00FF30B4"/>
    <w:rsid w:val="034B3924"/>
    <w:rsid w:val="038E14DC"/>
    <w:rsid w:val="049D5DEC"/>
    <w:rsid w:val="070C2538"/>
    <w:rsid w:val="0A2032A3"/>
    <w:rsid w:val="0E8E2683"/>
    <w:rsid w:val="0F1E13DC"/>
    <w:rsid w:val="10161F65"/>
    <w:rsid w:val="10C055FF"/>
    <w:rsid w:val="118107EC"/>
    <w:rsid w:val="16BB723D"/>
    <w:rsid w:val="18015F3F"/>
    <w:rsid w:val="18A138A9"/>
    <w:rsid w:val="1B532895"/>
    <w:rsid w:val="1BE8440E"/>
    <w:rsid w:val="1D155CEE"/>
    <w:rsid w:val="1DE142B5"/>
    <w:rsid w:val="1EFE2F11"/>
    <w:rsid w:val="20F57F95"/>
    <w:rsid w:val="22E05EF8"/>
    <w:rsid w:val="240371BF"/>
    <w:rsid w:val="263A564E"/>
    <w:rsid w:val="264A20EC"/>
    <w:rsid w:val="29FD04D3"/>
    <w:rsid w:val="2ABE7A3E"/>
    <w:rsid w:val="2B322E2C"/>
    <w:rsid w:val="30333E34"/>
    <w:rsid w:val="319F7F4E"/>
    <w:rsid w:val="3286292F"/>
    <w:rsid w:val="345B40AC"/>
    <w:rsid w:val="3AAE2B4D"/>
    <w:rsid w:val="3C0C0783"/>
    <w:rsid w:val="417144DC"/>
    <w:rsid w:val="46D85732"/>
    <w:rsid w:val="494876F3"/>
    <w:rsid w:val="496F39ED"/>
    <w:rsid w:val="4BE068DB"/>
    <w:rsid w:val="4BF6002B"/>
    <w:rsid w:val="4CE45AA9"/>
    <w:rsid w:val="4ECE2238"/>
    <w:rsid w:val="4ED765E4"/>
    <w:rsid w:val="555C5039"/>
    <w:rsid w:val="561C3DFA"/>
    <w:rsid w:val="5AA8263B"/>
    <w:rsid w:val="5CE86BCD"/>
    <w:rsid w:val="602C4987"/>
    <w:rsid w:val="61392B62"/>
    <w:rsid w:val="62046FDA"/>
    <w:rsid w:val="64413E25"/>
    <w:rsid w:val="64CA39A1"/>
    <w:rsid w:val="67B93952"/>
    <w:rsid w:val="68FA2EC5"/>
    <w:rsid w:val="69597DFC"/>
    <w:rsid w:val="69A81AFC"/>
    <w:rsid w:val="6C4A05C8"/>
    <w:rsid w:val="6E222A7A"/>
    <w:rsid w:val="725737BF"/>
    <w:rsid w:val="72734D90"/>
    <w:rsid w:val="7A070C66"/>
    <w:rsid w:val="7C53427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标题 1 Char"/>
    <w:basedOn w:val="13"/>
    <w:link w:val="3"/>
    <w:qFormat/>
    <w:uiPriority w:val="9"/>
    <w:rPr>
      <w:rFonts w:ascii="Times New Roman" w:hAnsi="Times New Roman"/>
      <w:b/>
      <w:bCs/>
      <w:kern w:val="44"/>
      <w:sz w:val="44"/>
      <w:szCs w:val="44"/>
    </w:rPr>
  </w:style>
  <w:style w:type="character" w:customStyle="1" w:styleId="18">
    <w:name w:val="Header Char"/>
    <w:basedOn w:val="13"/>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收支决算总计变动情况图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3155.22</c:v>
                </c:pt>
                <c:pt idx="1">
                  <c:v>1374.05</c:v>
                </c:pt>
              </c:numCache>
            </c:numRef>
          </c:val>
        </c:ser>
        <c:dLbls>
          <c:showLegendKey val="0"/>
          <c:showVal val="0"/>
          <c:showCatName val="0"/>
          <c:showSerName val="0"/>
          <c:showPercent val="0"/>
          <c:showBubbleSize val="0"/>
        </c:dLbls>
        <c:gapWidth val="150"/>
        <c:axId val="183105024"/>
        <c:axId val="183106560"/>
      </c:barChart>
      <c:catAx>
        <c:axId val="1831050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3106560"/>
        <c:crosses val="autoZero"/>
        <c:auto val="1"/>
        <c:lblAlgn val="ctr"/>
        <c:lblOffset val="100"/>
        <c:noMultiLvlLbl val="0"/>
      </c:catAx>
      <c:valAx>
        <c:axId val="18310656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310502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Lbls>
            <c:dLbl>
              <c:idx val="0"/>
              <c:layout>
                <c:manualLayout>
                  <c:x val="-0.00792002967428714"/>
                  <c:y val="0.01248997721438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5064536879223"/>
                  <c:y val="0.01164854393200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84.86</c:v>
                </c:pt>
                <c:pt idx="1">
                  <c:v>1288.78</c:v>
                </c:pt>
                <c:pt idx="2">
                  <c:v>0.41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66.11</c:v>
                </c:pt>
                <c:pt idx="1">
                  <c:v>1307.92</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sz="9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财政拨款收、支决算总计变动情况</a:t>
            </a:r>
            <a:endParaRPr lang="zh-CN" altLang="en-US" sz="1400" b="0"/>
          </a:p>
        </c:rich>
      </c:tx>
      <c:layout/>
      <c:overlay val="0"/>
    </c:title>
    <c:autoTitleDeleted val="0"/>
    <c:plotArea>
      <c:layout/>
      <c:barChart>
        <c:barDir val="col"/>
        <c:grouping val="clustered"/>
        <c:varyColors val="0"/>
        <c:ser>
          <c:idx val="0"/>
          <c:order val="0"/>
          <c:tx>
            <c:strRef>
              <c:f>Sheet1!$B$1</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2019年</c:v>
                </c:pt>
                <c:pt idx="1">
                  <c:v>2020年</c:v>
                </c:pt>
                <c:pt idx="2">
                  <c:v>减少</c:v>
                </c:pt>
              </c:strCache>
            </c:strRef>
          </c:cat>
          <c:val>
            <c:numRef>
              <c:f>Sheet1!$B$2:$B$4</c:f>
              <c:numCache>
                <c:formatCode>General</c:formatCode>
                <c:ptCount val="3"/>
                <c:pt idx="0">
                  <c:v>3154.89</c:v>
                </c:pt>
                <c:pt idx="1">
                  <c:v>1373.64</c:v>
                </c:pt>
                <c:pt idx="2">
                  <c:v>1781.25</c:v>
                </c:pt>
              </c:numCache>
            </c:numRef>
          </c:val>
        </c:ser>
        <c:ser>
          <c:idx val="1"/>
          <c:order val="1"/>
          <c:tx>
            <c:strRef>
              <c:f>Sheet1!$C$1</c:f>
              <c:strCache>
                <c:ptCount val="1"/>
                <c:pt idx="0">
                  <c:v>财政拨款支出</c:v>
                </c:pt>
              </c:strCache>
            </c:strRef>
          </c:tx>
          <c:invertIfNegative val="0"/>
          <c:dLbls>
            <c:dLbl>
              <c:idx val="0"/>
              <c:layout>
                <c:manualLayout>
                  <c:x val="0.0312876052948255"/>
                  <c:y val="0.0041279669762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85078219013237"/>
                  <c:y val="-0.0041279669762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8507821901323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2019年</c:v>
                </c:pt>
                <c:pt idx="1">
                  <c:v>2020年</c:v>
                </c:pt>
                <c:pt idx="2">
                  <c:v>减少</c:v>
                </c:pt>
              </c:strCache>
            </c:strRef>
          </c:cat>
          <c:val>
            <c:numRef>
              <c:f>Sheet1!$C$2:$C$4</c:f>
              <c:numCache>
                <c:formatCode>General</c:formatCode>
                <c:ptCount val="3"/>
                <c:pt idx="0">
                  <c:v>3154.89</c:v>
                </c:pt>
                <c:pt idx="1">
                  <c:v>1373.64</c:v>
                </c:pt>
                <c:pt idx="2">
                  <c:v>1781.25</c:v>
                </c:pt>
              </c:numCache>
            </c:numRef>
          </c:val>
        </c:ser>
        <c:dLbls>
          <c:showLegendKey val="0"/>
          <c:showVal val="0"/>
          <c:showCatName val="0"/>
          <c:showSerName val="0"/>
          <c:showPercent val="0"/>
          <c:showBubbleSize val="0"/>
        </c:dLbls>
        <c:gapWidth val="150"/>
        <c:axId val="189928192"/>
        <c:axId val="189929728"/>
      </c:barChart>
      <c:catAx>
        <c:axId val="1899281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9929728"/>
        <c:crosses val="autoZero"/>
        <c:auto val="1"/>
        <c:lblAlgn val="ctr"/>
        <c:lblOffset val="100"/>
        <c:noMultiLvlLbl val="0"/>
      </c:catAx>
      <c:valAx>
        <c:axId val="189929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9928192"/>
        <c:crosses val="autoZero"/>
        <c:crossBetween val="between"/>
      </c:valAx>
    </c:plotArea>
    <c:legend>
      <c:legendPos val="b"/>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一般公共预算财政拨款支出决算变动情况图</a:t>
            </a:r>
            <a:endParaRPr lang="en-US" altLang="zh-CN" sz="1400" b="0"/>
          </a:p>
        </c:rich>
      </c:tx>
      <c:layout>
        <c:manualLayout>
          <c:xMode val="edge"/>
          <c:yMode val="edge"/>
          <c:x val="0.20752688172043"/>
          <c:y val="0.0226537216828479"/>
        </c:manualLayout>
      </c:layout>
      <c:overlay val="0"/>
    </c:title>
    <c:autoTitleDeleted val="0"/>
    <c:plotArea>
      <c:layout>
        <c:manualLayout>
          <c:layoutTarget val="inner"/>
          <c:xMode val="edge"/>
          <c:yMode val="edge"/>
          <c:x val="0.123377190754382"/>
          <c:y val="0.173147312896568"/>
          <c:w val="0.764954025908052"/>
          <c:h val="0.678481767448972"/>
        </c:manualLayout>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2019年</c:v>
                </c:pt>
                <c:pt idx="1">
                  <c:v>2020年</c:v>
                </c:pt>
                <c:pt idx="2">
                  <c:v>减少</c:v>
                </c:pt>
              </c:strCache>
            </c:strRef>
          </c:cat>
          <c:val>
            <c:numRef>
              <c:f>Sheet1!$B$2:$B$4</c:f>
              <c:numCache>
                <c:formatCode>General</c:formatCode>
                <c:ptCount val="3"/>
                <c:pt idx="0">
                  <c:v>90.27</c:v>
                </c:pt>
                <c:pt idx="1">
                  <c:v>84.86</c:v>
                </c:pt>
                <c:pt idx="2">
                  <c:v>5.41</c:v>
                </c:pt>
              </c:numCache>
            </c:numRef>
          </c:val>
        </c:ser>
        <c:dLbls>
          <c:showLegendKey val="0"/>
          <c:showVal val="1"/>
          <c:showCatName val="0"/>
          <c:showSerName val="0"/>
          <c:showPercent val="0"/>
          <c:showBubbleSize val="0"/>
        </c:dLbls>
        <c:gapWidth val="150"/>
        <c:axId val="189970304"/>
        <c:axId val="189985536"/>
      </c:barChart>
      <c:catAx>
        <c:axId val="1899703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9985536"/>
        <c:crosses val="autoZero"/>
        <c:auto val="1"/>
        <c:lblAlgn val="ctr"/>
        <c:lblOffset val="100"/>
        <c:noMultiLvlLbl val="0"/>
      </c:catAx>
      <c:valAx>
        <c:axId val="1899855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99703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dPt>
          <c:dPt>
            <c:idx val="1"/>
            <c:bubble3D val="0"/>
          </c:dPt>
          <c:dPt>
            <c:idx val="2"/>
            <c:bubble3D val="0"/>
          </c:dPt>
          <c:dPt>
            <c:idx val="3"/>
            <c:bubble3D val="0"/>
          </c:dPt>
          <c:dLbls>
            <c:dLbl>
              <c:idx val="0"/>
              <c:layout>
                <c:manualLayout>
                  <c:x val="0.0130932896890344"/>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教育支出</c:v>
                </c:pt>
                <c:pt idx="1">
                  <c:v>社会保障和就业（类）</c:v>
                </c:pt>
                <c:pt idx="2">
                  <c:v>卫生健康支出</c:v>
                </c:pt>
                <c:pt idx="3">
                  <c:v>住房保障支出</c:v>
                </c:pt>
              </c:strCache>
            </c:strRef>
          </c:cat>
          <c:val>
            <c:numRef>
              <c:f>Sheet1!$B$2:$B$5</c:f>
              <c:numCache>
                <c:formatCode>General</c:formatCode>
                <c:ptCount val="4"/>
                <c:pt idx="0">
                  <c:v>0.07</c:v>
                </c:pt>
                <c:pt idx="1">
                  <c:v>76.66</c:v>
                </c:pt>
                <c:pt idx="2">
                  <c:v>3.92</c:v>
                </c:pt>
                <c:pt idx="3">
                  <c:v>4.21</c:v>
                </c:pt>
              </c:numCache>
            </c:numRef>
          </c:val>
        </c:ser>
        <c:dLbls>
          <c:showLegendKey val="0"/>
          <c:showVal val="1"/>
          <c:showCatName val="0"/>
          <c:showSerName val="0"/>
          <c:showPercent val="0"/>
          <c:showBubbleSize val="0"/>
          <c:showLeaderLines val="1"/>
        </c:dLbls>
        <c:firstSliceAng val="0"/>
      </c:pieChart>
    </c:plotArea>
    <c:legend>
      <c:legendPos val="b"/>
      <c:layout>
        <c:manualLayout>
          <c:xMode val="edge"/>
          <c:yMode val="edge"/>
          <c:x val="0.0610961763985721"/>
          <c:y val="0.89481659304782"/>
          <c:w val="0.765163996108878"/>
          <c:h val="0.0698762654668166"/>
        </c:manualLayout>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0F3DB-2594-4B62-870C-1385DBDDD49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845</Words>
  <Characters>4817</Characters>
  <Lines>40</Lines>
  <Paragraphs>11</Paragraphs>
  <ScaleCrop>false</ScaleCrop>
  <LinksUpToDate>false</LinksUpToDate>
  <CharactersWithSpaces>5651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2021-08-24T09:02:00Z</dcterms:created>
  <dc:creator>曹颖</dc:creator>
  <cp:lastModifiedBy>刘艺</cp:lastModifiedBy>
  <cp:lastPrinted>2021-07-29T03:56:00Z</cp:lastPrinted>
  <dcterms:modified xsi:type="dcterms:W3CDTF">2021-09-09T01:02:10Z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61251C27DFB04E26A7BF0D1F90A27789</vt:lpwstr>
  </property>
</Properties>
</file>