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
        <w:ind w:firstLine="0" w:firstLineChars="0"/>
        <w:jc w:val="center"/>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慈善组织保值增值投资活动情况</w:t>
      </w:r>
    </w:p>
    <w:bookmarkEnd w:id="0"/>
    <w:p>
      <w:pPr>
        <w:pStyle w:val="2"/>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宋体" w:cs="Times New Roman"/>
          <w:b/>
          <w:bCs/>
          <w:sz w:val="44"/>
          <w:szCs w:val="44"/>
        </w:rPr>
      </w:pPr>
    </w:p>
    <w:p>
      <w:pPr>
        <w:pStyle w:val="2"/>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慈善组织名称： </w:t>
      </w: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 xml:space="preserve">  登记管理机关：</w:t>
      </w:r>
      <w:r>
        <w:rPr>
          <w:rFonts w:hint="default"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填报时间： 年  月  日</w:t>
      </w:r>
    </w:p>
    <w:p>
      <w:pPr>
        <w:ind w:left="0" w:leftChars="0" w:firstLine="640" w:firstLineChars="200"/>
        <w:rPr>
          <w:rFonts w:hint="default" w:ascii="Times New Roman" w:hAnsi="Times New Roman" w:eastAsia="楷体_GB2312" w:cs="Times New Roman"/>
          <w:szCs w:val="21"/>
        </w:rPr>
      </w:pPr>
      <w:r>
        <w:rPr>
          <w:rFonts w:hint="default" w:ascii="Times New Roman" w:hAnsi="Times New Roman" w:eastAsia="楷体_GB2312" w:cs="Times New Roman"/>
          <w:szCs w:val="21"/>
        </w:rPr>
        <w:t>（一）购买资产管理产品情况</w:t>
      </w:r>
    </w:p>
    <w:tbl>
      <w:tblPr>
        <w:tblStyle w:val="5"/>
        <w:tblW w:w="918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9"/>
        <w:gridCol w:w="2180"/>
        <w:gridCol w:w="1982"/>
        <w:gridCol w:w="1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3039"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40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购买的资产管理产品名称</w:t>
            </w:r>
          </w:p>
        </w:tc>
        <w:tc>
          <w:tcPr>
            <w:tcW w:w="2180"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40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购买金额</w:t>
            </w:r>
          </w:p>
        </w:tc>
        <w:tc>
          <w:tcPr>
            <w:tcW w:w="1982"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40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当年实际收益金额</w:t>
            </w:r>
          </w:p>
        </w:tc>
        <w:tc>
          <w:tcPr>
            <w:tcW w:w="1988"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40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39" w:type="dxa"/>
            <w:vAlign w:val="top"/>
          </w:tcPr>
          <w:p>
            <w:pPr>
              <w:tabs>
                <w:tab w:val="left" w:pos="525"/>
              </w:tabs>
              <w:spacing w:before="156" w:beforeLines="50" w:line="360" w:lineRule="auto"/>
              <w:rPr>
                <w:rFonts w:hint="default" w:ascii="Times New Roman" w:hAnsi="Times New Roman" w:cs="Times New Roman"/>
                <w:sz w:val="21"/>
                <w:szCs w:val="21"/>
              </w:rPr>
            </w:pPr>
          </w:p>
        </w:tc>
        <w:tc>
          <w:tcPr>
            <w:tcW w:w="2180" w:type="dxa"/>
            <w:vAlign w:val="top"/>
          </w:tcPr>
          <w:p>
            <w:pPr>
              <w:tabs>
                <w:tab w:val="left" w:pos="525"/>
              </w:tabs>
              <w:spacing w:before="156" w:beforeLines="50" w:line="360" w:lineRule="auto"/>
              <w:rPr>
                <w:rFonts w:hint="default" w:ascii="Times New Roman" w:hAnsi="Times New Roman" w:cs="Times New Roman"/>
                <w:sz w:val="21"/>
                <w:szCs w:val="21"/>
              </w:rPr>
            </w:pPr>
          </w:p>
        </w:tc>
        <w:tc>
          <w:tcPr>
            <w:tcW w:w="1982" w:type="dxa"/>
            <w:vAlign w:val="top"/>
          </w:tcPr>
          <w:p>
            <w:pPr>
              <w:tabs>
                <w:tab w:val="left" w:pos="525"/>
              </w:tabs>
              <w:spacing w:before="156" w:beforeLines="50" w:line="360" w:lineRule="auto"/>
              <w:rPr>
                <w:rFonts w:hint="default" w:ascii="Times New Roman" w:hAnsi="Times New Roman" w:cs="Times New Roman"/>
                <w:sz w:val="21"/>
                <w:szCs w:val="21"/>
              </w:rPr>
            </w:pPr>
          </w:p>
        </w:tc>
        <w:tc>
          <w:tcPr>
            <w:tcW w:w="1988" w:type="dxa"/>
            <w:vAlign w:val="top"/>
          </w:tcPr>
          <w:p>
            <w:pPr>
              <w:tabs>
                <w:tab w:val="left" w:pos="525"/>
              </w:tabs>
              <w:spacing w:before="156" w:beforeLines="50" w:line="36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39" w:type="dxa"/>
            <w:vAlign w:val="top"/>
          </w:tcPr>
          <w:p>
            <w:pPr>
              <w:tabs>
                <w:tab w:val="left" w:pos="525"/>
              </w:tabs>
              <w:spacing w:before="156" w:beforeLines="50" w:line="360" w:lineRule="auto"/>
              <w:rPr>
                <w:rFonts w:hint="default" w:ascii="Times New Roman" w:hAnsi="Times New Roman" w:cs="Times New Roman"/>
                <w:sz w:val="21"/>
                <w:szCs w:val="21"/>
              </w:rPr>
            </w:pPr>
          </w:p>
        </w:tc>
        <w:tc>
          <w:tcPr>
            <w:tcW w:w="2180" w:type="dxa"/>
            <w:vAlign w:val="top"/>
          </w:tcPr>
          <w:p>
            <w:pPr>
              <w:tabs>
                <w:tab w:val="left" w:pos="525"/>
              </w:tabs>
              <w:spacing w:before="156" w:beforeLines="50" w:line="360" w:lineRule="auto"/>
              <w:rPr>
                <w:rFonts w:hint="default" w:ascii="Times New Roman" w:hAnsi="Times New Roman" w:cs="Times New Roman"/>
                <w:sz w:val="21"/>
                <w:szCs w:val="21"/>
              </w:rPr>
            </w:pPr>
          </w:p>
        </w:tc>
        <w:tc>
          <w:tcPr>
            <w:tcW w:w="1982" w:type="dxa"/>
            <w:vAlign w:val="top"/>
          </w:tcPr>
          <w:p>
            <w:pPr>
              <w:tabs>
                <w:tab w:val="left" w:pos="525"/>
              </w:tabs>
              <w:spacing w:before="156" w:beforeLines="50" w:line="360" w:lineRule="auto"/>
              <w:rPr>
                <w:rFonts w:hint="default" w:ascii="Times New Roman" w:hAnsi="Times New Roman" w:cs="Times New Roman"/>
                <w:sz w:val="21"/>
                <w:szCs w:val="21"/>
              </w:rPr>
            </w:pPr>
          </w:p>
        </w:tc>
        <w:tc>
          <w:tcPr>
            <w:tcW w:w="1988" w:type="dxa"/>
            <w:vAlign w:val="top"/>
          </w:tcPr>
          <w:p>
            <w:pPr>
              <w:tabs>
                <w:tab w:val="left" w:pos="525"/>
              </w:tabs>
              <w:spacing w:before="156" w:beforeLines="50" w:line="360" w:lineRule="auto"/>
              <w:rPr>
                <w:rFonts w:hint="default" w:ascii="Times New Roman" w:hAnsi="Times New Roman" w:cs="Times New Roman"/>
                <w:sz w:val="21"/>
                <w:szCs w:val="21"/>
              </w:rPr>
            </w:pPr>
          </w:p>
        </w:tc>
      </w:tr>
    </w:tbl>
    <w:p>
      <w:pPr>
        <w:ind w:left="0" w:leftChars="0" w:firstLine="640" w:firstLineChars="200"/>
        <w:rPr>
          <w:rFonts w:hint="default" w:ascii="Times New Roman" w:hAnsi="Times New Roman" w:eastAsia="楷体_GB2312" w:cs="Times New Roman"/>
          <w:bCs/>
          <w:szCs w:val="21"/>
        </w:rPr>
      </w:pPr>
      <w:r>
        <w:rPr>
          <w:rFonts w:hint="default" w:ascii="Times New Roman" w:hAnsi="Times New Roman" w:eastAsia="楷体_GB2312" w:cs="Times New Roman"/>
          <w:szCs w:val="21"/>
        </w:rPr>
        <w:t>（二）</w:t>
      </w:r>
      <w:r>
        <w:rPr>
          <w:rFonts w:hint="default" w:ascii="Times New Roman" w:hAnsi="Times New Roman" w:eastAsia="楷体_GB2312" w:cs="Times New Roman"/>
          <w:bCs/>
          <w:szCs w:val="21"/>
        </w:rPr>
        <w:t>持有股权的实体情况</w:t>
      </w:r>
    </w:p>
    <w:tbl>
      <w:tblPr>
        <w:tblStyle w:val="5"/>
        <w:tblW w:w="9706" w:type="dxa"/>
        <w:jc w:val="center"/>
        <w:tblInd w:w="0" w:type="dxa"/>
        <w:tblLayout w:type="fixed"/>
        <w:tblCellMar>
          <w:top w:w="0" w:type="dxa"/>
          <w:left w:w="108" w:type="dxa"/>
          <w:bottom w:w="0" w:type="dxa"/>
          <w:right w:w="108" w:type="dxa"/>
        </w:tblCellMar>
      </w:tblPr>
      <w:tblGrid>
        <w:gridCol w:w="567"/>
        <w:gridCol w:w="567"/>
        <w:gridCol w:w="567"/>
        <w:gridCol w:w="666"/>
        <w:gridCol w:w="838"/>
        <w:gridCol w:w="885"/>
        <w:gridCol w:w="900"/>
        <w:gridCol w:w="915"/>
        <w:gridCol w:w="690"/>
        <w:gridCol w:w="1260"/>
        <w:gridCol w:w="1172"/>
        <w:gridCol w:w="679"/>
      </w:tblGrid>
      <w:tr>
        <w:tblPrEx>
          <w:tblLayout w:type="fixed"/>
          <w:tblCellMar>
            <w:top w:w="0" w:type="dxa"/>
            <w:left w:w="108" w:type="dxa"/>
            <w:bottom w:w="0" w:type="dxa"/>
            <w:right w:w="108" w:type="dxa"/>
          </w:tblCellMar>
        </w:tblPrEx>
        <w:trPr>
          <w:trHeight w:val="11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序号</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实体名称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设立时间</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法定代表人</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工商登记类型</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被投资实体注册资金</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认缴注册资金 </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本基金会出资额</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持股比例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投资资产占基金会总资产的比例</w:t>
            </w:r>
          </w:p>
        </w:tc>
        <w:tc>
          <w:tcPr>
            <w:tcW w:w="117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与基金会的关系</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核算方法</w:t>
            </w:r>
          </w:p>
        </w:tc>
      </w:tr>
      <w:tr>
        <w:tblPrEx>
          <w:tblLayout w:type="fixed"/>
          <w:tblCellMar>
            <w:top w:w="0" w:type="dxa"/>
            <w:left w:w="108" w:type="dxa"/>
            <w:bottom w:w="0" w:type="dxa"/>
            <w:right w:w="108" w:type="dxa"/>
          </w:tblCellMar>
        </w:tblPrEx>
        <w:trPr>
          <w:trHeight w:val="28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28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679"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28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679"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kern w:val="0"/>
                <w:sz w:val="21"/>
                <w:szCs w:val="21"/>
              </w:rPr>
            </w:pPr>
          </w:p>
        </w:tc>
      </w:tr>
      <w:tr>
        <w:tblPrEx>
          <w:tblLayout w:type="fixed"/>
          <w:tblCellMar>
            <w:top w:w="0" w:type="dxa"/>
            <w:left w:w="108" w:type="dxa"/>
            <w:bottom w:w="0" w:type="dxa"/>
            <w:right w:w="108" w:type="dxa"/>
          </w:tblCellMar>
        </w:tblPrEx>
        <w:trPr>
          <w:trHeight w:val="28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679"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c>
          <w:tcPr>
            <w:tcW w:w="1800"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期初余额</w:t>
            </w:r>
          </w:p>
        </w:tc>
        <w:tc>
          <w:tcPr>
            <w:tcW w:w="262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本期增加</w:t>
            </w:r>
          </w:p>
        </w:tc>
        <w:tc>
          <w:tcPr>
            <w:tcW w:w="286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本期减少</w:t>
            </w:r>
          </w:p>
        </w:tc>
        <w:tc>
          <w:tcPr>
            <w:tcW w:w="185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800"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62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86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185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800"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62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86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185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800"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62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86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185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800"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623"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286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c>
          <w:tcPr>
            <w:tcW w:w="185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1"/>
                <w:szCs w:val="21"/>
              </w:rPr>
            </w:pPr>
          </w:p>
        </w:tc>
      </w:tr>
    </w:tbl>
    <w:p>
      <w:pPr>
        <w:ind w:left="840" w:hanging="840" w:hangingChars="400"/>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sz w:val="21"/>
          <w:szCs w:val="21"/>
        </w:rPr>
        <w:t>说明：1</w:t>
      </w:r>
      <w:r>
        <w:rPr>
          <w:rFonts w:hint="default" w:ascii="Times New Roman" w:hAnsi="Times New Roman" w:eastAsia="楷体_GB2312" w:cs="Times New Roman"/>
          <w:b w:val="0"/>
          <w:bCs/>
          <w:sz w:val="21"/>
          <w:szCs w:val="21"/>
          <w:lang w:val="en-US" w:eastAsia="zh-CN"/>
        </w:rPr>
        <w:t>.</w:t>
      </w:r>
      <w:r>
        <w:rPr>
          <w:rFonts w:hint="default" w:ascii="Times New Roman" w:hAnsi="Times New Roman" w:eastAsia="楷体_GB2312" w:cs="Times New Roman"/>
          <w:b w:val="0"/>
          <w:bCs/>
          <w:sz w:val="21"/>
          <w:szCs w:val="21"/>
        </w:rPr>
        <w:t>控制是指对被投资单位的持股比例在50%以上且有权决定其财务和经营政策，投资企业能够对被投资单位实施控制的，被投资单位为其子公司。</w:t>
      </w:r>
    </w:p>
    <w:p>
      <w:pPr>
        <w:ind w:firstLine="630" w:firstLineChars="300"/>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sz w:val="21"/>
          <w:szCs w:val="21"/>
        </w:rPr>
        <w:t>2</w:t>
      </w:r>
      <w:r>
        <w:rPr>
          <w:rFonts w:hint="default" w:ascii="Times New Roman" w:hAnsi="Times New Roman" w:eastAsia="楷体_GB2312" w:cs="Times New Roman"/>
          <w:b w:val="0"/>
          <w:bCs/>
          <w:sz w:val="21"/>
          <w:szCs w:val="21"/>
          <w:lang w:val="en-US" w:eastAsia="zh-CN"/>
        </w:rPr>
        <w:t>.</w:t>
      </w:r>
      <w:r>
        <w:rPr>
          <w:rFonts w:hint="default" w:ascii="Times New Roman" w:hAnsi="Times New Roman" w:eastAsia="楷体_GB2312" w:cs="Times New Roman"/>
          <w:b w:val="0"/>
          <w:bCs/>
          <w:sz w:val="21"/>
          <w:szCs w:val="21"/>
        </w:rPr>
        <w:t>非控制是指对被投资单位的持股比例在20%以下且无权决定其财务和经营政策。</w:t>
      </w:r>
    </w:p>
    <w:p>
      <w:pPr>
        <w:ind w:left="852" w:leftChars="195" w:hanging="228" w:hangingChars="109"/>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sz w:val="21"/>
          <w:szCs w:val="21"/>
        </w:rPr>
        <w:t>3</w:t>
      </w:r>
      <w:r>
        <w:rPr>
          <w:rFonts w:hint="default" w:ascii="Times New Roman" w:hAnsi="Times New Roman" w:eastAsia="楷体_GB2312" w:cs="Times New Roman"/>
          <w:b w:val="0"/>
          <w:bCs/>
          <w:sz w:val="21"/>
          <w:szCs w:val="21"/>
          <w:lang w:val="en-US" w:eastAsia="zh-CN"/>
        </w:rPr>
        <w:t>.</w:t>
      </w:r>
      <w:r>
        <w:rPr>
          <w:rFonts w:hint="default" w:ascii="Times New Roman" w:hAnsi="Times New Roman" w:eastAsia="楷体_GB2312" w:cs="Times New Roman"/>
          <w:b w:val="0"/>
          <w:bCs/>
          <w:sz w:val="21"/>
          <w:szCs w:val="21"/>
        </w:rPr>
        <w:t xml:space="preserve">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ind w:left="852" w:leftChars="195" w:hanging="228" w:hangingChars="109"/>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sz w:val="21"/>
          <w:szCs w:val="21"/>
        </w:rPr>
        <w:t>4</w:t>
      </w:r>
      <w:r>
        <w:rPr>
          <w:rFonts w:hint="default" w:ascii="Times New Roman" w:hAnsi="Times New Roman" w:eastAsia="楷体_GB2312" w:cs="Times New Roman"/>
          <w:b w:val="0"/>
          <w:bCs/>
          <w:sz w:val="21"/>
          <w:szCs w:val="21"/>
          <w:lang w:val="en-US" w:eastAsia="zh-CN"/>
        </w:rPr>
        <w:t>.</w:t>
      </w:r>
      <w:r>
        <w:rPr>
          <w:rFonts w:hint="default" w:ascii="Times New Roman" w:hAnsi="Times New Roman" w:eastAsia="楷体_GB2312" w:cs="Times New Roman"/>
          <w:b w:val="0"/>
          <w:bCs/>
          <w:sz w:val="21"/>
          <w:szCs w:val="21"/>
        </w:rPr>
        <w:t>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ind w:left="852" w:leftChars="195" w:hanging="228" w:hangingChars="109"/>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sz w:val="21"/>
          <w:szCs w:val="21"/>
        </w:rPr>
        <w:t>5</w:t>
      </w:r>
      <w:r>
        <w:rPr>
          <w:rFonts w:hint="default" w:ascii="Times New Roman" w:hAnsi="Times New Roman" w:eastAsia="楷体_GB2312" w:cs="Times New Roman"/>
          <w:b w:val="0"/>
          <w:bCs/>
          <w:sz w:val="21"/>
          <w:szCs w:val="21"/>
          <w:lang w:val="en-US" w:eastAsia="zh-CN"/>
        </w:rPr>
        <w:t>.</w:t>
      </w:r>
      <w:r>
        <w:rPr>
          <w:rFonts w:hint="default" w:ascii="Times New Roman" w:hAnsi="Times New Roman" w:eastAsia="楷体_GB2312" w:cs="Times New Roman"/>
          <w:b w:val="0"/>
          <w:bCs/>
          <w:sz w:val="21"/>
          <w:szCs w:val="21"/>
        </w:rPr>
        <w:t>对被投资单位无控制、无共同控制且无重大影响的，长期投资按成本法核算；若对被投资单位具有控制、共同控制或重大影响的，长期投资按权益法核算。</w:t>
      </w:r>
    </w:p>
    <w:p>
      <w:pPr>
        <w:keepNext w:val="0"/>
        <w:keepLines w:val="0"/>
        <w:pageBreakBefore w:val="0"/>
        <w:widowControl w:val="0"/>
        <w:kinsoku/>
        <w:wordWrap/>
        <w:overflowPunct/>
        <w:topLinePunct w:val="0"/>
        <w:autoSpaceDE/>
        <w:autoSpaceDN/>
        <w:bidi w:val="0"/>
        <w:adjustRightInd/>
        <w:snapToGrid/>
        <w:spacing w:line="576" w:lineRule="exact"/>
        <w:ind w:firstLine="633" w:firstLineChars="198"/>
        <w:textAlignment w:val="auto"/>
        <w:outlineLvl w:val="9"/>
        <w:rPr>
          <w:rFonts w:hint="default" w:ascii="Times New Roman" w:hAnsi="Times New Roman" w:eastAsia="楷体_GB2312" w:cs="Times New Roman"/>
          <w:szCs w:val="21"/>
        </w:rPr>
      </w:pPr>
      <w:r>
        <w:rPr>
          <w:rFonts w:hint="default" w:ascii="Times New Roman" w:hAnsi="Times New Roman" w:eastAsia="楷体_GB2312" w:cs="Times New Roman"/>
          <w:szCs w:val="21"/>
        </w:rPr>
        <w:t>（三）委托投资情况（是指将财产委托给受金融监督管理部门监管的机构进行投资）</w:t>
      </w:r>
    </w:p>
    <w:p>
      <w:pPr>
        <w:rPr>
          <w:rFonts w:hint="default" w:ascii="Times New Roman" w:hAnsi="Times New Roman" w:cs="Times New Roman"/>
          <w:b/>
          <w:bCs/>
          <w:szCs w:val="21"/>
        </w:rPr>
      </w:pPr>
    </w:p>
    <w:tbl>
      <w:tblPr>
        <w:tblStyle w:val="5"/>
        <w:tblW w:w="9231" w:type="dxa"/>
        <w:jc w:val="center"/>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2554"/>
        <w:gridCol w:w="810"/>
        <w:gridCol w:w="1391"/>
        <w:gridCol w:w="968"/>
        <w:gridCol w:w="1200"/>
        <w:gridCol w:w="11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153"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受托机构</w:t>
            </w:r>
          </w:p>
        </w:tc>
        <w:tc>
          <w:tcPr>
            <w:tcW w:w="2554"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受托人是否有资质在中国境内从事投资管理业务</w:t>
            </w:r>
          </w:p>
        </w:tc>
        <w:tc>
          <w:tcPr>
            <w:tcW w:w="810"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委托金额</w:t>
            </w:r>
          </w:p>
        </w:tc>
        <w:tc>
          <w:tcPr>
            <w:tcW w:w="1391"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委托期限</w:t>
            </w:r>
          </w:p>
        </w:tc>
        <w:tc>
          <w:tcPr>
            <w:tcW w:w="968"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收益确定方式</w:t>
            </w:r>
          </w:p>
        </w:tc>
        <w:tc>
          <w:tcPr>
            <w:tcW w:w="1200"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当年实际收益金额</w:t>
            </w:r>
          </w:p>
        </w:tc>
        <w:tc>
          <w:tcPr>
            <w:tcW w:w="1155"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53"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2554"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810"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391"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968"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200"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155"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53"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2554"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810"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391"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968"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200"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c>
          <w:tcPr>
            <w:tcW w:w="1155" w:type="dxa"/>
            <w:vAlign w:val="top"/>
          </w:tcPr>
          <w:p>
            <w:pPr>
              <w:keepNext w:val="0"/>
              <w:keepLines w:val="0"/>
              <w:pageBreakBefore w:val="0"/>
              <w:widowControl w:val="0"/>
              <w:tabs>
                <w:tab w:val="left" w:pos="525"/>
              </w:tabs>
              <w:kinsoku/>
              <w:wordWrap/>
              <w:overflowPunct/>
              <w:topLinePunct w:val="0"/>
              <w:autoSpaceDE/>
              <w:autoSpaceDN/>
              <w:bidi w:val="0"/>
              <w:adjustRightInd/>
              <w:snapToGrid/>
              <w:spacing w:before="156" w:beforeLines="50" w:line="360" w:lineRule="exact"/>
              <w:textAlignment w:val="auto"/>
              <w:outlineLvl w:val="9"/>
              <w:rPr>
                <w:rFonts w:hint="default" w:ascii="Times New Roman" w:hAnsi="Times New Roman" w:cs="Times New Roman"/>
                <w:sz w:val="21"/>
                <w:szCs w:val="21"/>
              </w:rPr>
            </w:pPr>
          </w:p>
        </w:tc>
      </w:tr>
    </w:tbl>
    <w:p>
      <w:pPr>
        <w:spacing w:before="156" w:beforeLines="50"/>
        <w:rPr>
          <w:rFonts w:hint="default" w:ascii="Times New Roman" w:hAnsi="Times New Roman" w:cs="Times New Roman"/>
          <w:szCs w:val="21"/>
        </w:rPr>
      </w:pPr>
      <w:r>
        <w:rPr>
          <w:rFonts w:hint="default" w:ascii="Times New Roman" w:hAnsi="Times New Roman" w:eastAsia="黑体" w:cs="Times New Roman"/>
          <w:sz w:val="24"/>
        </w:rPr>
        <w:t xml:space="preserve"> </w:t>
      </w:r>
      <w:r>
        <w:rPr>
          <w:rFonts w:hint="default" w:ascii="Times New Roman" w:hAnsi="Times New Roman" w:eastAsia="楷体_GB2312" w:cs="Times New Roman"/>
          <w:szCs w:val="21"/>
        </w:rPr>
        <w:t>（四）其他投资情况</w:t>
      </w:r>
    </w:p>
    <w:tbl>
      <w:tblPr>
        <w:tblStyle w:val="6"/>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9333" w:type="dxa"/>
            <w:vAlign w:val="top"/>
          </w:tcPr>
          <w:p>
            <w:pPr>
              <w:spacing w:before="156" w:beforeLines="50"/>
              <w:rPr>
                <w:rFonts w:hint="default" w:ascii="Times New Roman" w:hAnsi="Times New Roman" w:cs="Times New Roman"/>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p>
            <w:pPr>
              <w:pStyle w:val="2"/>
              <w:rPr>
                <w:rFonts w:hint="default" w:ascii="Times New Roman" w:hAnsi="Times New Roman" w:eastAsia="黑体" w:cs="Times New Roman"/>
                <w:sz w:val="24"/>
              </w:rPr>
            </w:pPr>
          </w:p>
        </w:tc>
      </w:tr>
    </w:tbl>
    <w:p>
      <w:pPr>
        <w:pStyle w:val="2"/>
        <w:ind w:firstLine="0" w:firstLineChars="0"/>
        <w:jc w:val="center"/>
        <w:rPr>
          <w:rFonts w:hint="default" w:ascii="Times New Roman" w:hAnsi="Times New Roman" w:eastAsia="宋体" w:cs="Times New Roman"/>
          <w:b/>
          <w:bCs/>
          <w:sz w:val="44"/>
          <w:szCs w:val="44"/>
        </w:rPr>
      </w:pPr>
    </w:p>
    <w:p>
      <w:pPr>
        <w:rPr>
          <w:rFonts w:hint="default" w:ascii="Times New Roman" w:hAnsi="Times New Roman" w:eastAsia="仿宋" w:cs="Times New Roman"/>
          <w:sz w:val="30"/>
          <w:szCs w:val="30"/>
        </w:rPr>
      </w:pPr>
      <w:r>
        <w:rPr>
          <w:rFonts w:hint="default" w:ascii="Times New Roman" w:hAnsi="Times New Roman" w:eastAsia="楷体_GB2312" w:cs="Times New Roman"/>
          <w:b w:val="0"/>
          <w:bCs/>
          <w:sz w:val="21"/>
          <w:szCs w:val="21"/>
        </w:rPr>
        <w:t>说明：本表所称慈善组织，包含未认定为慈善组织的基金会、具有公益性捐赠税前扣除资格的社会团体和社会服务机构。</w:t>
      </w:r>
    </w:p>
    <w:p>
      <w:pPr>
        <w:overflowPunct w:val="0"/>
        <w:snapToGrid w:val="0"/>
        <w:spacing w:line="579" w:lineRule="exact"/>
        <w:ind w:firstLine="640" w:firstLineChars="200"/>
        <w:jc w:val="left"/>
        <w:rPr>
          <w:rFonts w:hint="default" w:ascii="Times New Roman" w:hAnsi="Times New Roman" w:eastAsia="仿宋"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25BBA"/>
    <w:rsid w:val="18D2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560" w:lineRule="exact"/>
      <w:ind w:firstLine="480" w:firstLineChars="200"/>
    </w:pPr>
    <w:rPr>
      <w:rFonts w:ascii="Times New Roman" w:hAnsi="Times New Roman" w:eastAsia="仿宋_GB2312"/>
      <w:sz w:val="28"/>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2019-05-09T00:59:00Z</dcterms:created>
  <dc:creator>陈明强</dc:creator>
  <cp:lastModifiedBy>陈明强</cp:lastModifiedBy>
  <dcterms:modified xsi:type="dcterms:W3CDTF">2019-05-09T01:00:21Z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