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</w:rPr>
        <w:t>提升农村</w:t>
      </w:r>
      <w:r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  <w:lang w:val="zh-CN"/>
        </w:rPr>
        <w:t>公共文化</w:t>
      </w:r>
      <w:r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</w:rPr>
        <w:t>服务效能</w:t>
      </w:r>
      <w:r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/>
          <w:spacing w:val="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</w:t>
      </w:r>
      <w:r>
        <w:rPr>
          <w:rFonts w:hint="eastAsia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征求意见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按照省委关于做好两项改革“后半篇”文章部署要求，为进一步提升农村公共文化服务效能，现制定如下工作方案。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一、总体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坚持以习近平新时代中国特色社会主义思想为指导，聚焦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涉改村镇文化建设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，着力在调顺体制机制、优化资源布局、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提升供给质量、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创新方式方法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、推进民心相融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上下功夫。到2021年底，基本形成统筹有力、高效有序的体制机制，全面完成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涉改村镇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阵地资产的清理登记、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布局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调整，形成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40个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水平高、辐射力强的示范点位，农村公共文化服务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效能明显提升，陈规陋习得到有效遏制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到2025年，农村公共文化资源配置更加合理，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服务效能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大幅提升，建成农村“十里文化圈”，乡村社会文明程度明显提升。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二、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（一）优化公共文化服务网点布局。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聚焦人口规模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幅员面积两个关键，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优化设置农村服务网点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。未涉改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村镇（包含乡、街道、社区，下同）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服务网点不变。涉改乡镇人口规模在5万（含）人以下或“二镇合一”的仅保留现乡镇驻地网点；5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万人以上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或“三镇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及以上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合一”的保留现乡镇驻地网点，其余移交给被撤并乡镇驻地社区使用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，其中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8万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以上或“五镇及以上合一”的，综合人口聚集情况，可选择1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至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2个建设镇级分站。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涉改村是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“二、三村合一”的仅保留现村办公地网点；“四村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及以上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合一”的保留现村办公地网点，综合人口聚集情况，可选择1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至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个被撤并村网点作为分中心，其余撤销。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优化设置文明实践所（站）、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广播电视服务网点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等农村文化阵地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修订完善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基层公共文化服务指导性标准，在硬件建设、财力投入、人员配置、活动开展、空间分布等方面予以量化或具体化。着力解决资源闲置、布局不合理等问题，提升服务水平和实效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（二）开展中心镇（村）示范建设。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在覆盖涉改村镇范围内，实施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乡镇公共文化服务提质增效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工程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5年内，打造200个集阅读空间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影视观赏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文体活动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、非遗传承、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智慧广电、科学艺术普及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和乡镇史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展示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等一体的中心乡镇文化综合体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启动乡村文化振兴“百千万”工程示范村镇建设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，2021年起，每年建成100个省级、500个市级、2000个县级示范村镇。两项示范建设中涉改村镇比例不少于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30%。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着力解决中心镇（村）文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化供给不足、辐射带动不够等问题，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提升基层公共文化服务整体水平。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2021-2025年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（三）实施供给质量提升行动。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加大涉改村镇公共文化供给，利用流动博物馆、流动文化车、流动舞台车和流动图书车，开展流动文化服务和“结对子、种文化”活动。深化农家书屋改革创新，用好用活书籍、书架等可移动闲置资产，增加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儿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童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类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读物占比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不少于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更新出版物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1/3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，实施“总分馆制+农家书屋”计划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。支持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涉改乡镇根据辖区内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村数量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灵活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安排农村公益电影放映场次、进度，做到新片不少于1/3，在春节、寒暑假等时间节点和中心镇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等人流聚集区加大放映频次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。广泛开展新时代乡村阅读季、乡村艺术节、魅力乡镇展演、广电惠民月、百城千乡万村系列赛事等群众性文体活动。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着力解决供需错位、质量不高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，资产闲置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等问题，不断创新服务供给，提升服务品质。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2021年，并长期坚持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（四）开展数字文化建设行动。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推进涉改村镇综合文化服务中心（文化站、文化综合体、文化院坝）无线网络全覆盖，实现电脑、网络电视、手机等终端便捷高效获取数字文化资源。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建设完善25个县级应急广播系统，完成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涉改地区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县级管理平台、乡镇前端、村级前端、终端及相关覆盖网传输链路等调整和改造升级。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完善提升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100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0个广播电视公共服务网点，优化人口聚居乡镇和村落网点覆盖，方便群众就近解决收听收视问题。实施“互联网+公共文化服务”计划，推进文化四川云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、智慧广电公共服务平台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建设，构建标准统一、互联互通的数字文化网络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着力解决不联不通、供给不平衡等问题，推动城乡、区域公共文化服务均衡发展。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2021年，并长期坚持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（五）推广社会共建创新行动。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推动改革与创新发展同步，以涉改村镇为重点，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采取项目补贴、贷款贴息等政策措施，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引导社会组织参与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文化建设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。开展“传帮带”专业能力提升计划，鼓励县级文化机构托管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乡镇文化单位，组织文联、作协、音协、摄影家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协会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等行业协会与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村镇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共建工作室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启动公共文化服务社会化运营试点，推广“文化管家”服务模式、“农民文化理事会”机制和“民间众筹”做法，探索“公助民办、民企民办、合作联办”供给模式，形成政府市场社会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三方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共同参与、良性互动的格局。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探索社会共建共享机制办法。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着力解决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投入不足，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活力不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够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、运行不好的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问题，提升公共文化服务社会化水平。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2021年，并长期坚持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eastAsia="zh-CN"/>
        </w:rPr>
        <w:t>（六）推进涉改村镇文明乡风建设。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以涉改村镇为重点，深入挖掘整理和保护抢救历史文化、民族文化、地名文化等本地文化资源。推进涉改村（社区）开展修订村规民约（居民公约）工作，将乡风文明要求融入其中。重新认定涉改文明村镇的创建荣誉，支持鼓励涉改村镇创建文明村镇。整治农村天价彩礼、薄养厚葬、铺张浪费等现象。着力解决农村陈规陋习、不良风气等突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问题，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增进群众文化认同和情感归属，推动文明新风在农村落地生根。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2021年，并长期坚持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三、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各地党委宣传部要加强统揽、注重协调，坚决做好两项改革“后半篇”文章中农村公共文化和乡风文明部分工作。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建立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公共文化服务高质量发展议事协调机制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，定期召开联席会议，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 w:eastAsia="zh-CN"/>
        </w:rPr>
        <w:t>形成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党委宣传部牵头抓总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 w:eastAsia="zh-CN"/>
        </w:rPr>
        <w:t>、行业部门各司其责、全社会共同参与的工作格局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，切实推动各项工作落到实处。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（二）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 w:eastAsia="zh-CN"/>
        </w:rPr>
        <w:t>增强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保障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 w:eastAsia="zh-CN"/>
        </w:rPr>
        <w:t>力量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健全完善公共文化服务财政保障机制，统筹利用现有资金渠道，支持涉改村镇提升公共文化服务效能。在设施建设、人才队伍、财政投入等方面向中心乡镇倾斜。鼓励社会资本依法投入公共文化服务，拓宽资金来源渠道。组织开展涉改乡镇、村（社区）宣传文化队伍的各级各类培训和人才培养，提升业务能力和专业素养，不断壮大基层工作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（三）强化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 w:eastAsia="zh-CN"/>
        </w:rPr>
        <w:t>考核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督查。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健全农村文化建设考核评价制度，优化公共文化服务体系建设绩效目标考核内容，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 w:eastAsia="zh-CN"/>
        </w:rPr>
        <w:t>在文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明创建测评和乡村振兴考评标准中加大乡风民风的考核权重。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建立动态监测和绩效评估机制，对农村公共文化服务工作进行督促检查，对进展缓慢的及时提醒，对不符合标准要求的责令整改，对敷衍塞责或不履职尽责的严肃处理。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zh-CN"/>
        </w:rPr>
        <w:t>（四）</w:t>
      </w: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营造良好氛围。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组织各级各类新闻媒体广泛宣传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提升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农村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公共文化服务效能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和培育文明乡风淳朴民风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/>
        </w:rPr>
        <w:t>工作的目的、意义和成效，宣传推介在规划建设、管理运行和作用发挥方面的先进典型。认真总结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经验，形成可复制推广的做法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4EAB"/>
    <w:rsid w:val="6BF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/>
      <w:b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2020-12-16T09:16:00Z</dcterms:created>
  <dc:creator>叶婧薇</dc:creator>
  <cp:lastModifiedBy>叶婧薇</cp:lastModifiedBy>
  <dcterms:modified xsi:type="dcterms:W3CDTF">2020-12-16T09:17:24Z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