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  <w:t>全省性慈善组织（基金会）年检年报须知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年检年报范围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2020年12月31日前登记或者认定为慈善组织的基金会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和全省性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社会团体、社会服务机构，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应当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按照《中华人民共和国慈善法》的要求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年度报告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2020年12月31日前未认定为慈善组织的基金会，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应当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按照《基金会管理条例》的要求接受年度检查。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二、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年检年报资料及要求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</w:rPr>
        <w:t>年度工作报告。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慈善组织（基金会）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登录民政部年报年检填报系统（http://csmj.mca.gov.cn），在线填写年度工作报告（含财务会计报告），上传审计报告、专项信息审核报告电子文档。如对填报系统有疑问，可通过登录界面所留联系方式咨询技术服务人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年度工作报告（含财务会计报告）需打印成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A4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纸质文本，由法定代表人、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监事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签名，加盖本组织印章后送交业务主管单位初审签字盖章后报送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民政厅。无业务主管单位的，直接报民政厅。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</w:rPr>
        <w:t>年度审计报告和专项信息审核报告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应当按照中国注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册会计师协会印发的《基金会财务报表审计指引》规定的格式出具年度审计报告和专项信息审核报告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且附二维码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法定代表人、财务负责人签名，加盖本组织印章后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送业务主管单位初审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后报送民政厅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助力乡村振兴三年行动方案及《四川省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</w:rPr>
        <w:t>慈善组织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（基金会）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</w:rPr>
        <w:t>助力乡村振兴项目统计表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2021-2023年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》。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各慈善组织（基金会）要总结2018年至2020年参与脱贫攻坚工作情况，结合自身优势，采取新增、转化、增资、扩面等方式开发、挖掘项目潜力，形成有效衔接、服务国家乡村振兴战略的工作思路，制订助力乡村振兴三年行动方案并填写《四川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慈善组织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（基金会）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助力乡村振兴项目统计表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2021—2023年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（附件6）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，随年检年报纸质材料同时报送民政厅，同时发邮箱mztcsc01@126.com。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40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40"/>
        </w:rPr>
        <w:t>年检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40"/>
          <w:lang w:eastAsia="zh-CN"/>
        </w:rPr>
        <w:t>年报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40"/>
        </w:rPr>
        <w:t>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全省性慈善组织（基金会）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应当于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规定时间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将业务主管单位出具初审意见并盖章的年度工作报告书（原件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一式三份，无业务主管单位的一式二份）、《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慈善组织（基金会）法人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登记证书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（副本）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》原件、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财务审计报告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和专项信息审核报告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及其他资料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一并提交到四川省政府政务服务和公共资源交易服务中心（成都市草市街2号）政务服务大厅五楼民政厅年检窗口。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40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年检年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报结果公布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民政厅在民政部年报年检审批系统（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val="en-US" w:eastAsia="zh-CN"/>
        </w:rPr>
        <w:t>http://csmj.mca.gov.cn)接收、审查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慈善组织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（基金会）报送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</w:rPr>
        <w:t>的年度工作报告（含财务会计报告）、审计报告和专项信息审核报告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eastAsia="zh-CN"/>
        </w:rPr>
        <w:t>，相关材料即收即向社会公开，接收社会公众监督。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40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40"/>
          <w:shd w:val="clear" w:color="auto" w:fill="auto"/>
          <w:lang w:eastAsia="zh-CN"/>
        </w:rPr>
        <w:t>民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5"/>
          <w:kern w:val="0"/>
          <w:sz w:val="32"/>
          <w:szCs w:val="40"/>
          <w:shd w:val="clear" w:color="auto" w:fill="auto"/>
          <w:lang w:eastAsia="zh-CN"/>
        </w:rPr>
        <w:t>政厅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5"/>
          <w:kern w:val="0"/>
          <w:sz w:val="32"/>
          <w:szCs w:val="40"/>
          <w:shd w:val="clear" w:color="auto" w:fill="auto"/>
        </w:rPr>
        <w:t>对在2020年12月31日前未认定为慈善组织的基金会实施年度检查，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5"/>
          <w:kern w:val="0"/>
          <w:sz w:val="32"/>
          <w:szCs w:val="40"/>
          <w:shd w:val="clear" w:color="auto" w:fill="auto"/>
          <w:lang w:eastAsia="zh-CN"/>
        </w:rPr>
        <w:t>加盖年检专用章，综合评定并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5"/>
          <w:kern w:val="0"/>
          <w:sz w:val="32"/>
          <w:szCs w:val="40"/>
          <w:shd w:val="clear" w:color="auto" w:fill="auto"/>
        </w:rPr>
        <w:t>出具年度检查结论。年度检查结论将在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5"/>
          <w:kern w:val="0"/>
          <w:sz w:val="32"/>
          <w:szCs w:val="40"/>
          <w:shd w:val="clear" w:color="auto" w:fill="auto"/>
          <w:lang w:eastAsia="zh-CN"/>
        </w:rPr>
        <w:t>民政厅官方网站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5"/>
          <w:kern w:val="0"/>
          <w:sz w:val="32"/>
          <w:szCs w:val="40"/>
        </w:rPr>
        <w:t>（https://mzt.sc.gov.cn/）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5"/>
          <w:kern w:val="0"/>
          <w:sz w:val="32"/>
          <w:szCs w:val="40"/>
          <w:shd w:val="clear" w:color="auto" w:fill="auto"/>
        </w:rPr>
        <w:t>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全省性慈善组织（基金会）办公地址已经发生迁移但未办理住所变更登记、又未在年检年报中如实填写实际办公地址的，将按照年检年报中隐瞒真实情况有关条款处理。民政厅将组织第三方机构对全省性慈善组织（基金会）办公地址进行全面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（二）慈善组织（基金会）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无正当理由逾期未提交纸质材料或《慈善组织（基金会）法人登记证书（副本）》原件未加盖民政厅年检年报专用章的，视同不按照规定接受登记管理机关监督检查处理。对虚假填报及未按期报送年检年报材料的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慈善组织（基金会）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，民政厅将予以严肃处理。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民政厅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将对部分慈善组织（基金会）开展抽查审计或专项检查，具体要求另行通知。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、问题咨询及监督电话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全省性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慈善组织（基金会）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年检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年报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咨询电话：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028—84423057、84423014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公益性捐赠税前扣除资格咨询电话：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028—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84423014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四川省行政效能投诉电话：96960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政务服务大厅监督电话：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028—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86918316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0DEF6"/>
    <w:multiLevelType w:val="singleLevel"/>
    <w:tmpl w:val="ED20DE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8C2409"/>
    <w:multiLevelType w:val="singleLevel"/>
    <w:tmpl w:val="698C240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A3EAA"/>
    <w:rsid w:val="74E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2021-05-12T01:33:00Z</dcterms:created>
  <dc:creator>胡晓娟</dc:creator>
  <cp:lastModifiedBy>胡晓娟</cp:lastModifiedBy>
  <dcterms:modified xsi:type="dcterms:W3CDTF">2021-05-12T01:34:05Z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