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乡村旅游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产业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发展工作方案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napToGrid w:val="0"/>
          <w:kern w:val="0"/>
          <w:sz w:val="36"/>
          <w:szCs w:val="36"/>
        </w:rPr>
      </w:pPr>
      <w:bookmarkStart w:id="1" w:name="_GoBack"/>
      <w:r>
        <w:rPr>
          <w:rFonts w:hint="default" w:ascii="Times New Roman" w:hAnsi="Times New Roman" w:eastAsia="方正楷体简体" w:cs="Times New Roman"/>
          <w:b/>
          <w:bCs/>
          <w:snapToGrid w:val="0"/>
          <w:kern w:val="0"/>
          <w:sz w:val="36"/>
          <w:szCs w:val="36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snapToGrid w:val="0"/>
          <w:kern w:val="0"/>
          <w:sz w:val="36"/>
          <w:szCs w:val="36"/>
          <w:lang w:eastAsia="zh-CN"/>
        </w:rPr>
        <w:t>征求意见</w:t>
      </w:r>
      <w:r>
        <w:rPr>
          <w:rFonts w:hint="default" w:ascii="Times New Roman" w:hAnsi="Times New Roman" w:eastAsia="方正楷体简体" w:cs="Times New Roman"/>
          <w:b/>
          <w:bCs/>
          <w:snapToGrid w:val="0"/>
          <w:kern w:val="0"/>
          <w:sz w:val="36"/>
          <w:szCs w:val="36"/>
          <w:lang w:eastAsia="zh-CN"/>
        </w:rPr>
        <w:t>稿</w:t>
      </w:r>
      <w:r>
        <w:rPr>
          <w:rFonts w:hint="default" w:ascii="Times New Roman" w:hAnsi="Times New Roman" w:eastAsia="方正楷体简体" w:cs="Times New Roman"/>
          <w:b/>
          <w:bCs/>
          <w:snapToGrid w:val="0"/>
          <w:kern w:val="0"/>
          <w:sz w:val="36"/>
          <w:szCs w:val="36"/>
        </w:rPr>
        <w:t>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按照省委关于做好两项改革“后半篇”文章部署要求，为进一步推进乡村旅游产业发展，现制定如下工作方案。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坚持以习近平新时代中国特色社会主义思想为指导，深入贯彻省委、省政府关于做好乡镇行政区划和村级建制调整改革“后半篇”文章重大决策部署，全面落实全省文化和旅游发展大会精神，把握</w:t>
      </w:r>
      <w:r>
        <w:rPr>
          <w:rFonts w:hint="eastAsia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两项改革</w:t>
      </w:r>
      <w:r>
        <w:rPr>
          <w:rFonts w:hint="eastAsia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对乡村旅游发展带来的新情况新形势新要求，坚持问题导向、目标导向、基层导向和利民导向，开拓创新，狠抓落实，推进涉改镇村乡村旅游发展实现规划布局更加合理、基础设施更加完善、产品供给更加丰富、管理服务更加规范、人才队伍更加壮大，不断满足人民对美好生活的需求。2021年，全省实现乡村旅游总收入超过3600亿元，年增幅超过15%。经过5年努力，力争2025年全省乡村旅游收入在2019年基础上实现翻一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（一）制定《涉改镇村旅游规划导则》。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《导则》用于引导改革后乡村旅游思路变革和布局优化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年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（二）抓好涉改镇村乡村旅游提升发展试点示范。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在成都市彭州市磁峰镇、绵阳市安州区桑枣镇、南充市阆中市天宫镇、宜宾市高县来复镇、凉山州雷波县黄琅镇开展综合试点，围绕改革后乡村旅游的规划布局、标准建设、品牌打造、项目招商、人才培训和体制机制创新等方面，全面加强指导，探索总结可复制推广的改革后乡村旅游发展新模式新路径。2021年第三季度，组织召开全省改革“后半篇”文章加快乡村旅游发展现场会，总结推广试点示范的经验和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2021年9月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（三）开展涉改村镇乡村旅游基础和服务设施“旅游功能化”建设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结合省交通</w:t>
      </w:r>
      <w:r>
        <w:rPr>
          <w:rFonts w:hint="eastAsia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运输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厅实施的“金通工程、畅通工程”，推进乡村旅游“最后一公里”建设，力争实现涉改重点旅游乡（镇）、重点村、重点景区通达四级及以上公路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打通旅游区内涉改镇村之间旅游通道。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指导涉改镇村对撤并后留存的闲置用房用地、公共服务设施等资源，实施“旅游化”功能改造。对涉改乡镇提升建设A级旅游景区、旅游度假区和生态旅游示范区的，支持建设示范旅游厕所10个。指导旅游景区内标识标牌规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（四）指导培育改革后乡村旅游新产品、新品牌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指导涉改镇村整合资源、完善管理、打造产品、培育品牌，在涉改镇村中选择条件成熟的创建“天府旅游名镇”不少于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个、“天府旅游名村”不少于5个。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2021年9月完成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支持成都市彭州市桂花镇等基础较好、条件成熟的涉改镇村创建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国家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A</w:t>
      </w:r>
      <w:r>
        <w:rPr>
          <w:rFonts w:hint="eastAsia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级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旅游景区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旅游度假区。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2021年12月完成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（五）推动改革后乡村旅游管理体制机制完善。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指导设立基层文化旅游服务中心。指导试点示范乡镇在不增加机构、编制的前提下，依托乡镇便民服务中心或基层综合性文化服务中心，以两块牌子一套人马的形式，探索设立基层文化旅游服务中心，负责乡村旅游的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2021年12月完成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（六）实施涉改镇村乡村旅游人才培训计划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1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建立涉改镇村“文旅能人库”。以县为主体在每个涉改乡（镇）选拔3至5名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以镇为主体在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每个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涉改村（社区）选拔1至3名长期扎根服务乡村，并在文化繁荣和旅游发展方面发挥引领作用的带头人，纳入全省乡村文旅能人库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，并对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纳入能人库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的带头人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优先开展培训。2021年底完成第一批文旅能人库建设，以后每年增补完善。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完成时限：持续开展。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举办涉改镇村乡村旅游带头人培训班。举办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-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期培训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班，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重点培训涉改镇村的党委书记、产业带头人、返乡创业者，力争为涉改镇村培训乡村旅游带头人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建立乡村旅游实训基地。在涉改的彭州市、阆中市、泸州市纳溪区试点建立乡村旅游实训基地（学院）。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完成时限：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、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  <w:lang w:eastAsia="zh-CN"/>
        </w:rPr>
        <w:t>组织</w:t>
      </w:r>
      <w:r>
        <w:rPr>
          <w:rFonts w:hint="default" w:ascii="Times New Roman" w:hAnsi="Times New Roman" w:eastAsia="黑体" w:cs="Times New Roman"/>
          <w:b/>
          <w:spacing w:val="6"/>
          <w:sz w:val="36"/>
          <w:szCs w:val="36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bookmarkStart w:id="0" w:name="_Hlk500705775"/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（一）加强组织协调。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在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省文化和旅游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产业领导小组下成立两项改革“后半篇”文章乡村旅游工作推进组，建立工作推进协调机制，与自然资源、住建部门联合指导涉改镇村乡村旅游规划编制，确保“多规合一”的可操作性；与交通部门联合推进涉改镇村乡村旅游道路建设；与农业农村、水利、生态环境部门统筹整合利用政策、资金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推进涉改镇村乡村旅游基础设施和配套设施完善。与组织部门、人社部门联合开展涉改镇村乡村旅游行政管理、经营管理和服务技能人才培训。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（二）加大资金保障。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从省级文化旅游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产业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发展专项资金中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加大对涉改镇村乡村旅游专项资金投入，用于支持涉改镇村规划指导、配套设施建设和人才培训等。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47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spacing w:val="6"/>
          <w:sz w:val="36"/>
          <w:szCs w:val="36"/>
          <w:lang w:val="en-US" w:eastAsia="zh-CN"/>
        </w:rPr>
        <w:t>（三）加大督促考核。</w:t>
      </w:r>
      <w:r>
        <w:rPr>
          <w:rFonts w:hint="default" w:ascii="Times New Roman" w:hAnsi="Times New Roman" w:eastAsia="方正仿宋简体" w:cs="Times New Roman"/>
          <w:b/>
          <w:spacing w:val="6"/>
          <w:sz w:val="36"/>
          <w:szCs w:val="36"/>
        </w:rPr>
        <w:t>文化和旅游厅不定期派员前往基层加强指导，每月收集汇总工作推进情况，半年组织开展督导检查，年终开展全面考核验收，确保各项工作任务落地落实、取得成效。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1701" w:gutter="0"/>
          <w:pgNumType w:fmt="decimal"/>
          <w:cols w:space="0" w:num="1"/>
          <w:rtlGutter w:val="1"/>
          <w:docGrid w:type="lines" w:linePitch="315" w:charSpace="0"/>
        </w:sectPr>
      </w:pPr>
    </w:p>
    <w:p>
      <w:pPr>
        <w:pStyle w:val="4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重点工作任务清单</w:t>
      </w:r>
    </w:p>
    <w:tbl>
      <w:tblPr>
        <w:tblStyle w:val="7"/>
        <w:tblW w:w="9590" w:type="dxa"/>
        <w:jc w:val="center"/>
        <w:tblInd w:w="2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60"/>
        <w:gridCol w:w="514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  <w:t>重点工作任务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</w:rPr>
              <w:t>编制《涉改镇村旅游规划导则》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涉改镇村乡村旅游规划编制的原则、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任务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、标准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等内容提出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要求。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</w:rPr>
              <w:t>涉改镇村乡村旅游提升发展试点示范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围绕改革后乡村旅游的规划布局、标准建设、品牌打造、项目招商、人才培训和体制机制创新等方面开展综合试点，探索总结可复制推广的改革后乡村旅游发展新模式新路径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涉改镇村乡村旅游道路建设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</w:rPr>
              <w:t>推进乡村旅游“最后一公里”建设，力争实现涉改重点旅游乡（镇）、重点村、重点景区通达四级及以上公路。打通旅游区内涉改镇村之间旅游通道。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涉改镇村配套服务设施“旅游化”改造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指导涉改镇村对撤并后留存的闲置用房用地、公共服务设施等资源实施“旅游化”功能改造，改建乡村游客中心、停车场、旅游厕所等配套服务设施，支持建设10个示范旅游厕所。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涉改镇村创建天府旅游名镇、名村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</w:rPr>
              <w:t>指导涉改镇村整合资源、完善管理、打造产品、培育品牌，创建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“天府旅游名镇”不少于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个、“天府旅游名村”不少于5个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</w:rPr>
              <w:t>涉改镇村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旅游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</w:rPr>
              <w:t>品牌创建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指导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彭州市桂花镇、南充市阆中市天宫镇、宜宾市筠连县春风村、高县大屋村、达州市达川区乌梅三村支持涉改重点镇村创建旅游景区、旅游度假区、生态旅游示范区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涉改镇村设立基层文化旅游服务中心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</w:rPr>
              <w:t>指导试点示范乡镇在不增加机构、编制的前提下，依托乡镇便民服务中心或基层综合性文化服务中心，设立基层文化旅游服务中心。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2021年1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涉改镇村建立“文旅能人库”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每个涉改乡（镇）选拔3至5名、村（社区）选拔1至3名带头人，纳入全省乡村文旅能人库，并对纳入乡村文旅能人库的带头人优先开展文旅能人培训。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举办涉改镇村乡村旅游带头人培训班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帮助涉改镇村培训乡村旅游带头人300人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</w:rPr>
              <w:t>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建立乡村旅游实训基地</w:t>
            </w:r>
          </w:p>
        </w:tc>
        <w:tc>
          <w:tcPr>
            <w:tcW w:w="51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Cs w:val="21"/>
                <w:lang w:eastAsia="zh-CN"/>
              </w:rPr>
              <w:t>在涉改的彭州市、阆中市、泸州市纳溪区试点建立乡村旅游实训基地（学院）。</w:t>
            </w:r>
          </w:p>
        </w:tc>
        <w:tc>
          <w:tcPr>
            <w:tcW w:w="9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2021年12月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RA3pdQA&#10;AAAIAQAADwAAAAAAAAABACAAAAAiAAAAZHJzL2Rvd25yZXYueG1sUEsBAhQAFAAAAAgAh07iQITD&#10;ArqxAQAAWQMAAA4AAAAAAAAAAQAgAAAAI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547B"/>
    <w:rsid w:val="054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Calibri" w:hAnsi="Calibri"/>
      <w:b/>
      <w:sz w:val="36"/>
      <w:szCs w:val="24"/>
    </w:rPr>
  </w:style>
  <w:style w:type="paragraph" w:styleId="3">
    <w:name w:val="index 8"/>
    <w:basedOn w:val="1"/>
    <w:next w:val="1"/>
    <w:uiPriority w:val="0"/>
    <w:pPr>
      <w:ind w:left="2940"/>
    </w:pPr>
  </w:style>
  <w:style w:type="paragraph" w:styleId="4">
    <w:name w:val="Body Text"/>
    <w:basedOn w:val="1"/>
    <w:next w:val="3"/>
    <w:uiPriority w:val="0"/>
    <w:pPr>
      <w:spacing w:after="120"/>
    </w:pPr>
    <w:rPr>
      <w:rFonts w:ascii="Calibri" w:hAnsi="Calibri"/>
      <w:szCs w:val="32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2020-12-16T09:11:00Z</dcterms:created>
  <dc:creator>叶婧薇</dc:creator>
  <cp:lastModifiedBy>叶婧薇</cp:lastModifiedBy>
  <dcterms:modified xsi:type="dcterms:W3CDTF">2020-12-16T09:11:58Z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