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</w:rPr>
        <w:t>加强涉改乡镇干部周转房保障工作方案</w:t>
      </w:r>
    </w:p>
    <w:p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楷体简体" w:cs="Times New Roman"/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征求意见</w:t>
      </w:r>
      <w:bookmarkStart w:id="0" w:name="_GoBack"/>
      <w:bookmarkEnd w:id="0"/>
      <w:r>
        <w:rPr>
          <w:rFonts w:hint="default" w:ascii="Times New Roman" w:hAnsi="Times New Roman" w:eastAsia="方正楷体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稿）</w:t>
      </w:r>
    </w:p>
    <w:p>
      <w:pPr>
        <w:pStyle w:val="6"/>
        <w:spacing w:line="640" w:lineRule="exact"/>
        <w:ind w:left="1143" w:hanging="723"/>
        <w:rPr>
          <w:rFonts w:hint="default" w:ascii="Times New Roman" w:hAnsi="Times New Roman" w:eastAsia="方正仿宋简体" w:cs="Times New Roman"/>
          <w:b/>
          <w:sz w:val="36"/>
          <w:szCs w:val="36"/>
        </w:rPr>
      </w:pPr>
    </w:p>
    <w:p>
      <w:pPr>
        <w:pStyle w:val="8"/>
        <w:widowControl w:val="0"/>
        <w:spacing w:before="0" w:beforeAutospacing="0" w:after="0" w:afterAutospacing="0" w:line="640" w:lineRule="exact"/>
        <w:ind w:firstLine="747" w:firstLineChars="200"/>
        <w:jc w:val="both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按照省委关于做好两项改革“后半篇”文章部署要求，为进一步加强涉改乡镇干部周转房保障，现制定如下工作方案。</w:t>
      </w:r>
    </w:p>
    <w:p>
      <w:pPr>
        <w:pStyle w:val="8"/>
        <w:spacing w:before="0" w:beforeAutospacing="0" w:after="0" w:afterAutospacing="0" w:line="640" w:lineRule="exact"/>
        <w:ind w:firstLine="747" w:firstLineChars="200"/>
        <w:jc w:val="both"/>
        <w:rPr>
          <w:rFonts w:hint="default" w:ascii="Times New Roman" w:hAnsi="Times New Roman" w:eastAsia="黑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spacing w:val="6"/>
          <w:kern w:val="2"/>
          <w:sz w:val="36"/>
          <w:szCs w:val="36"/>
          <w:lang w:val="en-US" w:eastAsia="zh-CN" w:bidi="ar-SA"/>
        </w:rPr>
        <w:t>一、总体目标</w:t>
      </w:r>
    </w:p>
    <w:p>
      <w:pPr>
        <w:pStyle w:val="8"/>
        <w:widowControl w:val="0"/>
        <w:spacing w:before="0" w:beforeAutospacing="0" w:after="0" w:afterAutospacing="0" w:line="640" w:lineRule="exact"/>
        <w:ind w:firstLine="747" w:firstLineChars="200"/>
        <w:jc w:val="both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（一）指导思想。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坚持以习近平新时代中国特色社会主义思想为指导，全面贯彻落实省委、省政府谋深做实两项改革“后半篇”文章的有关要求，以关心关爱基层干部为重点，坚持问题导向、基层导向、目标导向，优化周转房资源配置、增强供给能力，扎实推进涉改乡镇干部周转房保障工作，加快改善乡镇干部周转房居住条件，进一步激发安心基层、干事创业的热情与活力，增强服务能力、提高治理效能，为推进乡村振兴、新型城镇化和县域经济发展提供坚实保障。</w:t>
      </w:r>
    </w:p>
    <w:p>
      <w:pPr>
        <w:pStyle w:val="8"/>
        <w:widowControl w:val="0"/>
        <w:spacing w:before="0" w:beforeAutospacing="0" w:after="0" w:afterAutospacing="0" w:line="640" w:lineRule="exact"/>
        <w:ind w:firstLine="747" w:firstLineChars="200"/>
        <w:jc w:val="both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（二）基本原则。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坚持统筹规划、试点先行，统筹谋划推进全省涉改乡镇干部周转房保障工作，分年度确定目标任务及投资计划，优先从合并乡镇数量较多、距离县城较远、自然条件艰苦的涉改乡镇选择一批开展试点。坚持多措并举、分类推进，根据乡镇实际情况，通过盘活存量、社会租赁和新建购置等方式，因地制宜，加强脱贫巩固提升县和一般县涉改乡镇干部周转房保障。坚持市县主体、省级补助，建立涉改乡镇干部周转房资金筹措保障机制，省级补助资金按“以奖代补”方式安排。涉藏州县按既有中央政策和资金渠道解决，凉山州待全面完成乡镇区划调整后统筹考虑，成都市自筹资金组织实施。</w:t>
      </w:r>
    </w:p>
    <w:p>
      <w:pPr>
        <w:pStyle w:val="8"/>
        <w:widowControl w:val="0"/>
        <w:spacing w:before="0" w:beforeAutospacing="0" w:after="0" w:afterAutospacing="0" w:line="640" w:lineRule="exact"/>
        <w:ind w:firstLine="747" w:firstLineChars="200"/>
        <w:jc w:val="both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（三）工作目标。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2021年，选择140个涉改乡镇开展干部周转房保障试点工作，解决8200名干部周转房保障问题，探索形成全省涉改乡镇干部周转房保障的有效路径。2022—2023年，在试点总结评估基础上，全面推进我省涉改乡镇干部周转房保障工作，有效解决涉改乡镇干部周转房保障问题。</w:t>
      </w:r>
    </w:p>
    <w:p>
      <w:pPr>
        <w:pStyle w:val="8"/>
        <w:spacing w:before="0" w:beforeAutospacing="0" w:after="0" w:afterAutospacing="0" w:line="640" w:lineRule="exact"/>
        <w:ind w:firstLine="747" w:firstLineChars="200"/>
        <w:jc w:val="both"/>
        <w:rPr>
          <w:rFonts w:hint="default" w:ascii="Times New Roman" w:hAnsi="Times New Roman" w:eastAsia="黑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spacing w:val="6"/>
          <w:kern w:val="2"/>
          <w:sz w:val="36"/>
          <w:szCs w:val="36"/>
          <w:lang w:val="en-US" w:eastAsia="zh-CN" w:bidi="ar-SA"/>
        </w:rPr>
        <w:t>二、重点任务</w:t>
      </w:r>
    </w:p>
    <w:p>
      <w:pPr>
        <w:pStyle w:val="8"/>
        <w:spacing w:before="0" w:beforeAutospacing="0" w:after="0" w:afterAutospacing="0" w:line="640" w:lineRule="exact"/>
        <w:ind w:firstLine="747" w:firstLineChars="200"/>
        <w:jc w:val="both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按照合并数量较多的乡镇优先、距离县城较远的乡镇优先、自然条件艰苦的乡镇优先的“三优先”原则，2021年，重点推进140个涉改乡镇干部周转房保障试点工作，涉及17个市57个县，包括30个脱贫巩固提升县。其中：距离县城所在地15公里以上的“三合一”及以上乡镇107个，距离县城所在地85公里以上的“二合一”乡镇19个，其他类型乡镇14个。通过盘活存量、社会租赁、新建购置等方式，提供干部周转房27.4万平方米，保障8200名干部，估算总投资8.63亿元，其中省级补助3.06亿元，市级财政资金2.59亿元，县级财政资金2.98亿元。</w:t>
      </w:r>
    </w:p>
    <w:p>
      <w:pPr>
        <w:pStyle w:val="3"/>
        <w:spacing w:after="0" w:line="640" w:lineRule="exact"/>
        <w:ind w:left="0" w:leftChars="0" w:firstLine="747" w:firstLineChars="200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（一）盘活存量保障一批。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通过整合盘活乡镇卫生院、中心校、粮站、计生服务站、养老院等可利用资产等方式保障一批。2021年，通过整合盘活可利用资产0.94万平方米，根据实际情况进行维修改造，总投资1074万元，保障乡镇干部270人。省市县资金分担比例按照脱贫巩固提升县4:3:3，一般县3:3:4进行测算，省级补助342万元，市财政分担322万元，县财政分担410万元。</w:t>
      </w:r>
    </w:p>
    <w:p>
      <w:pPr>
        <w:spacing w:line="640" w:lineRule="exact"/>
        <w:ind w:firstLine="747" w:firstLineChars="200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（二）社会租赁保障一批。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由乡镇或干部个人就近租赁具有安全保障的空闲民房、园区空置宿舍等方式保障一批。2021年，通过社会租赁0.55万平方米，年租金65.5万元，保障乡镇干部160人。社会租赁费用由市县财政按1:1分担。</w:t>
      </w:r>
    </w:p>
    <w:p>
      <w:pPr>
        <w:spacing w:line="640" w:lineRule="exact"/>
        <w:ind w:firstLine="747" w:firstLineChars="200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（三）新建购置保障一批。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在财力允许且不新增地方政府债务的前提下，盘活存量土地，本着“节约、集约”原则，以单间为主，按照人均建筑面积不超过35平方米，基本居住设施设备不超过4000元/人标准配备，新建购置保障一批。2021年，新建购置25.93万平方米，总投资85198万元，保障乡镇干部7770人。省市县资金分担比例按照脱贫巩固提升县4:3:3，一般县3:3:4进行测算，省级补助30228万元，市财政分担25560万元，县财政分担29410万元。</w:t>
      </w:r>
    </w:p>
    <w:p>
      <w:pPr>
        <w:pStyle w:val="8"/>
        <w:spacing w:before="0" w:beforeAutospacing="0" w:after="0" w:afterAutospacing="0" w:line="640" w:lineRule="exact"/>
        <w:ind w:firstLine="747" w:firstLineChars="200"/>
        <w:jc w:val="both"/>
        <w:rPr>
          <w:rFonts w:hint="default" w:ascii="Times New Roman" w:hAnsi="Times New Roman" w:eastAsia="黑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spacing w:val="6"/>
          <w:kern w:val="2"/>
          <w:sz w:val="36"/>
          <w:szCs w:val="36"/>
          <w:lang w:val="en-US" w:eastAsia="zh-CN" w:bidi="ar-SA"/>
        </w:rPr>
        <w:t>三、实施步骤</w:t>
      </w:r>
    </w:p>
    <w:p>
      <w:pPr>
        <w:adjustRightInd w:val="0"/>
        <w:snapToGrid w:val="0"/>
        <w:spacing w:line="640" w:lineRule="exact"/>
        <w:ind w:firstLine="747" w:firstLineChars="200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（一）准备阶段（2021年3月底前）。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按照2021年涉改乡镇干部周转房保障目标任务，县级人民政府进一步细化制定实施方案，明确时间进度安排，市人民政府核定汇总后报省发展改革委备案。发展改革、自然资源、住房城乡建设等部门要加强业务指导，加快推进立项、用地、设计等各项前期工作，确保3月底前完成准备工作。</w:t>
      </w:r>
    </w:p>
    <w:p>
      <w:pPr>
        <w:adjustRightInd w:val="0"/>
        <w:snapToGrid w:val="0"/>
        <w:spacing w:line="640" w:lineRule="exact"/>
        <w:ind w:firstLine="747" w:firstLineChars="200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（二）实施阶段（2021年10月底前）。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2021年4月底前，完成涉改乡镇干部周转房社会租赁任务；7月底前，完成涉改乡镇干部周转房维修改造任务；10月底前，完成涉改乡镇干部周转房新建购置任务。各级发展改革、财政、自然资源、住房城乡建设等部门要切实加强土地、资金等要素保障。县级人民政府要严格落实工程安全责任制度，加强对工程建设各环节的监督管理，把乡镇干部周转房建设成为放心工程、满意工程。</w:t>
      </w:r>
    </w:p>
    <w:p>
      <w:pPr>
        <w:adjustRightInd w:val="0"/>
        <w:snapToGrid w:val="0"/>
        <w:spacing w:line="640" w:lineRule="exact"/>
        <w:ind w:firstLine="747" w:firstLineChars="200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（三）总结阶段（2021年12月底前）。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2021年11月底前，相关县级人民政府组织完成干部周转房各项工程的竣工验收，并对试点工作的总体情况、主要做法、成效和存在的问题进行总结；12月底前，省级相关部门会同相关市人民政府完成总结评估。</w:t>
      </w:r>
    </w:p>
    <w:p>
      <w:pPr>
        <w:pStyle w:val="6"/>
        <w:spacing w:line="640" w:lineRule="exact"/>
        <w:ind w:left="0" w:leftChars="0" w:firstLine="747" w:firstLineChars="200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（四）推广阶段（2022年—2023年）。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在试点总结评估基础上，形成可复制、可推广的经验和做法，全面推进涉改乡镇干部周转房保障工作，有效解决涉改乡镇干部周转房保障问题。</w:t>
      </w:r>
    </w:p>
    <w:p>
      <w:pPr>
        <w:pStyle w:val="8"/>
        <w:spacing w:before="0" w:beforeAutospacing="0" w:after="0" w:afterAutospacing="0" w:line="640" w:lineRule="exact"/>
        <w:ind w:firstLine="747" w:firstLineChars="200"/>
        <w:jc w:val="both"/>
        <w:rPr>
          <w:rFonts w:hint="default" w:ascii="Times New Roman" w:hAnsi="Times New Roman" w:eastAsia="黑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/>
          <w:spacing w:val="6"/>
          <w:kern w:val="2"/>
          <w:sz w:val="36"/>
          <w:szCs w:val="36"/>
          <w:lang w:val="en-US" w:eastAsia="zh-CN" w:bidi="ar-SA"/>
        </w:rPr>
        <w:t>四、组织保障</w:t>
      </w:r>
    </w:p>
    <w:p>
      <w:pPr>
        <w:adjustRightInd w:val="0"/>
        <w:snapToGrid w:val="0"/>
        <w:spacing w:line="640" w:lineRule="exact"/>
        <w:ind w:firstLine="747" w:firstLineChars="200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（一）加强组织领导。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市人民政府要切实履行涉改乡镇干部周转房保障的工作主体责任，县（市、区）人民政府要切实履行责任主体和实施主体责任。相关市县人民政府要成立工作专班，有力有序推进本辖区乡镇干部周转房保障工作。省级相关部门要加强督促指导，及时协调解决推进中的困难问题。</w:t>
      </w:r>
    </w:p>
    <w:p>
      <w:pPr>
        <w:spacing w:line="640" w:lineRule="exact"/>
        <w:ind w:firstLine="642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（二）强化资金保障。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相关市县人民政府要按照涉改乡镇干部周转房保障实施方案，统筹项目资金并纳入本级财政预算予以保障，确保及时足额到位，保障项目顺利实施。省级补助资金按“以奖代补”方式安排，根据项目推进情况下达到相关市，对2021年未完工项目不予补助。鼓励各地在依法依规的前提下，结合实际创新投融资方式，多渠道筹集建设资金。加强资金监管，确保专款专用。</w:t>
      </w:r>
    </w:p>
    <w:p>
      <w:pPr>
        <w:pStyle w:val="3"/>
        <w:spacing w:after="0" w:line="640" w:lineRule="exact"/>
        <w:ind w:left="0" w:leftChars="0" w:firstLine="747" w:firstLineChars="200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（三）严格考核督查。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相关市人民政府要强化督查指导，按月调度进展情况，按季度开展督查考核，强化督查结果运用，对保障有力、推进较快的予以通报表扬；对重视不够、措施不力、行动迟缓的给予通报批评，对无法实施的及时向省发展改革委提出调整申请。省发展改革委会同相关部门适时组织开展专项督查。</w:t>
      </w:r>
    </w:p>
    <w:p>
      <w:pPr>
        <w:pStyle w:val="6"/>
        <w:spacing w:line="640" w:lineRule="exact"/>
        <w:ind w:left="0" w:leftChars="0" w:firstLine="747" w:firstLineChars="200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spacing w:val="6"/>
          <w:kern w:val="2"/>
          <w:sz w:val="36"/>
          <w:szCs w:val="36"/>
          <w:lang w:val="en-US" w:eastAsia="zh-CN" w:bidi="ar-SA"/>
        </w:rPr>
        <w:t>（四）规范使用管理。</w:t>
      </w: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按照“只住不售、周转使用”的原则，以县为单位制定涉改乡镇干部周转房管理办法，明确周转房产权、申请条件、分配原则、租金收取、管理使用、退出条件等，落实周转房运行维护责任，推动干部周转房持续规范管理。</w:t>
      </w:r>
    </w:p>
    <w:p>
      <w:pPr>
        <w:spacing w:line="640" w:lineRule="exact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</w:p>
    <w:p>
      <w:pPr>
        <w:pStyle w:val="6"/>
        <w:spacing w:line="640" w:lineRule="exact"/>
        <w:ind w:left="0" w:leftChars="0" w:firstLine="747" w:firstLineChars="200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附件：1.2021年涉改乡镇干部周转房保障计划表</w:t>
      </w:r>
    </w:p>
    <w:p>
      <w:pPr>
        <w:tabs>
          <w:tab w:val="left" w:pos="1440"/>
        </w:tabs>
        <w:spacing w:line="640" w:lineRule="exact"/>
        <w:ind w:left="2167" w:leftChars="904" w:hanging="269" w:hangingChars="72"/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spacing w:val="6"/>
          <w:kern w:val="2"/>
          <w:sz w:val="36"/>
          <w:szCs w:val="36"/>
          <w:lang w:val="en-US" w:eastAsia="zh-CN" w:bidi="ar-SA"/>
        </w:rPr>
        <w:t>2.2021年开展干部周转房保障工作的涉改乡镇名单</w:t>
      </w:r>
    </w:p>
    <w:p>
      <w:pPr>
        <w:pStyle w:val="6"/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6"/>
        <w:ind w:left="1060" w:hanging="640"/>
        <w:rPr>
          <w:rFonts w:hint="default" w:ascii="Times New Roman" w:hAnsi="Times New Roman" w:cs="Times New Roman"/>
        </w:rPr>
      </w:pPr>
    </w:p>
    <w:p>
      <w:pPr>
        <w:spacing w:line="1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5"/>
        <w:tblW w:w="9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805"/>
        <w:gridCol w:w="930"/>
        <w:gridCol w:w="960"/>
        <w:gridCol w:w="765"/>
        <w:gridCol w:w="690"/>
        <w:gridCol w:w="600"/>
        <w:gridCol w:w="735"/>
        <w:gridCol w:w="960"/>
        <w:gridCol w:w="930"/>
        <w:gridCol w:w="1005"/>
        <w:gridCol w:w="1245"/>
        <w:gridCol w:w="1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400" w:hRule="atLeast"/>
        </w:trPr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720" w:hRule="atLeast"/>
        </w:trPr>
        <w:tc>
          <w:tcPr>
            <w:tcW w:w="96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  <w:lang w:bidi="ar"/>
              </w:rPr>
              <w:t>2021</w:t>
            </w:r>
            <w:r>
              <w:rPr>
                <w:rStyle w:val="9"/>
                <w:rFonts w:hint="default" w:ascii="Times New Roman" w:hAnsi="Times New Roman" w:cs="Times New Roman"/>
                <w:sz w:val="36"/>
                <w:szCs w:val="36"/>
                <w:lang w:bidi="ar"/>
              </w:rPr>
              <w:t>年涉改乡镇干部周转房保障计划表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640" w:hRule="atLeast"/>
        </w:trPr>
        <w:tc>
          <w:tcPr>
            <w:tcW w:w="1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市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乡镇数量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（个）</w:t>
            </w:r>
          </w:p>
        </w:tc>
        <w:tc>
          <w:tcPr>
            <w:tcW w:w="279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总建筑面积（平方米）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总投资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（万元）</w:t>
            </w:r>
          </w:p>
        </w:tc>
        <w:tc>
          <w:tcPr>
            <w:tcW w:w="3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资金来源（万元）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680" w:hRule="atLeast"/>
        </w:trPr>
        <w:tc>
          <w:tcPr>
            <w:tcW w:w="17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盘活存量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社会租赁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新建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购置</w:t>
            </w: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省级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补助资金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市级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财政资金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县级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2"/>
                <w:lang w:bidi="ar"/>
              </w:rPr>
              <w:t>财政资金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274088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9362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5459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259267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86337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30569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25915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29853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自贡市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3920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3920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515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155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155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206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攀枝花市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1960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1960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709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213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213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283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泸州市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2135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2135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885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265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265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354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德阳市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10508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10508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3303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991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991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1321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绵阳市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20980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303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20677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6528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2000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1958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2569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广元市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21525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392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21133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7692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3077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2308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2308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遂宁市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4375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1295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3080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1020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301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309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410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内江市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16700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595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16105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5277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1583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1583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2111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乐山市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14220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318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1167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12735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3991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1193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1200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1598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南充市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23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38850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1050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37800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12272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4768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3682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3822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宜宾市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13975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13975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4620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1611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1386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1623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广安市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20615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20615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6636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2654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1991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1991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达州市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42850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129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42721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14086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5635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4226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4226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巴中市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14595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14595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4936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1974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1481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1481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雅安市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8840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8840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3131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939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939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1253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510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眉山市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23310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0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23310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7427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2228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2228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2971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" w:type="dxa"/>
          <w:wAfter w:w="15" w:type="dxa"/>
          <w:trHeight w:val="452" w:hRule="atLeast"/>
        </w:trPr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>资阳市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14730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2655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2997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9078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3309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982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1000 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/>
                <w:kern w:val="0"/>
                <w:sz w:val="22"/>
                <w:lang w:bidi="ar"/>
              </w:rPr>
              <w:t xml:space="preserve">1327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47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1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6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36"/>
                <w:szCs w:val="36"/>
                <w:lang w:bidi="ar"/>
              </w:rPr>
              <w:t>2021</w:t>
            </w:r>
            <w:r>
              <w:rPr>
                <w:rFonts w:hint="default" w:ascii="Times New Roman" w:hAnsi="Times New Roman" w:eastAsia="方正小标宋简体" w:cs="Times New Roman"/>
                <w:b/>
                <w:color w:val="000000"/>
                <w:kern w:val="0"/>
                <w:sz w:val="36"/>
                <w:szCs w:val="36"/>
                <w:lang w:bidi="ar"/>
              </w:rPr>
              <w:t>年开展干部周转房保障工作的涉改乡镇名单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市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县（市、区）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合计：涉及17个市57县（市、区）的140个乡镇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自贡市（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富顺县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赵化镇、童寺镇、长滩镇、古佛镇、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板桥镇、骑龙镇、安溪镇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攀枝花市（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盐边县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永兴镇、渔门镇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泸州市（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纳溪区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大渡口镇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德阳市（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什邡市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蓥华镇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中江县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兴隆镇、集凤镇、龙台镇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绵阳市（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6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15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游仙区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信义镇、盐泉镇、忠兴镇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江油市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枫顺乡、厚坝镇、二郎庙镇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三台县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紫河镇、郪江镇、塔山镇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盐亭县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金孔镇、富驿镇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梓潼县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许州镇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平武县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锁江羌族乡、豆叩羌族乡、平通羌族乡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广元市（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县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苍溪县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高坡镇、元坝镇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旺苍县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白水镇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剑阁县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金仙镇、开封镇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青川县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关庄镇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昭化区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王家镇、昭化镇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朝天区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李家镇、沙河镇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遂宁市（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大英县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河边镇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蓬溪县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文井镇、槐花镇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内江市（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资中县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归德镇、发轮镇、双龙镇、鱼溪镇、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太平镇、球溪镇、双河镇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乐山市（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犍为县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大兴镇、罗城镇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井研县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周坡镇、竹园镇、马踏镇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夹江县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华头镇、吴场镇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县（市、区）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南充市（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县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顺庆区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李家镇、双桥镇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高坪区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长乐镇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嘉陵区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李渡镇、吉安镇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阆中市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老观镇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仪陇县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马鞍镇、日兴镇、大寅镇、金城镇、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丁字桥镇、义路镇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南部县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伏虎镇、升钟镇、大坪镇、太霞乡、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桐坪镇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营山县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双流镇、柏林乡、悦中乡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西充县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槐树镇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蓬安县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兴旺镇、巨龙镇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宜宾市（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叙州区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樟海镇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高县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来复镇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屏山县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中都镇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翠屏区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金秋湖镇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广安市（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县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广安区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大龙镇、花桥镇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岳池县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顾县镇、罗渡镇、酉溪镇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邻水县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丰禾镇、石永镇、坛同镇、袁市镇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达州市（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县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  <w:r>
              <w:rPr>
                <w:rStyle w:val="11"/>
                <w:rFonts w:hint="default" w:ascii="Times New Roman" w:hAnsi="Times New Roman" w:cs="Times New Roman"/>
                <w:b/>
                <w:bCs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达川区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石桥镇、麻柳镇、石梯镇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万源市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黄钟镇、河口镇、草坝镇、竹峪镇、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大沙镇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宣汉县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普光镇、马渡关镇、南坪镇、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漆树土家族乡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大竹县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观音镇、石河镇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渠县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有庆镇、贵福镇、静边镇、涌兴镇、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临巴镇、三汇镇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开江县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任市镇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巴中市（5县8镇）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巴州区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鼎山镇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恩阳区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玉山镇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通江县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铁佛镇、沙溪镇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南江县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正直镇、长赤镇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平昌县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响滩镇、岩口镇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市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县（市、区）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乡镇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雅安市（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名山区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红星镇、百丈镇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荥经县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荥河镇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汉源县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宜东镇、九襄镇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眉山市（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东坡区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复兴镇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仁寿县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文宫镇、汪洋镇、藕塘镇、禾加镇、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视高街道、贵平镇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6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资阳市（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县</w:t>
            </w:r>
            <w:r>
              <w:rPr>
                <w:rStyle w:val="10"/>
                <w:rFonts w:hint="default" w:ascii="Times New Roman" w:hAnsi="Times New Roman" w:cs="Times New Roman"/>
                <w:b/>
                <w:bCs/>
                <w:lang w:bidi="ar"/>
              </w:rPr>
              <w:t>7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镇）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雁江区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丰裕镇、丹山镇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5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安岳县</w:t>
            </w:r>
          </w:p>
        </w:tc>
        <w:tc>
          <w:tcPr>
            <w:tcW w:w="41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周礼镇、龙台镇、李家镇、石羊镇、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lang w:bidi="ar"/>
              </w:rPr>
              <w:t>卧佛镇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C495B"/>
    <w:rsid w:val="0F0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Calibri" w:hAnsi="Calibri"/>
      <w:b/>
      <w:sz w:val="36"/>
      <w:szCs w:val="24"/>
    </w:rPr>
  </w:style>
  <w:style w:type="paragraph" w:styleId="3">
    <w:name w:val="Body Text Indent 2"/>
    <w:basedOn w:val="1"/>
    <w:next w:val="1"/>
    <w:uiPriority w:val="0"/>
    <w:pPr>
      <w:spacing w:after="120" w:afterLines="0" w:line="480" w:lineRule="auto"/>
      <w:ind w:left="420" w:leftChars="200"/>
    </w:pPr>
  </w:style>
  <w:style w:type="paragraph" w:customStyle="1" w:styleId="6">
    <w:name w:val="图表目录1"/>
    <w:basedOn w:val="7"/>
    <w:next w:val="1"/>
    <w:qFormat/>
    <w:uiPriority w:val="99"/>
    <w:pPr>
      <w:ind w:left="200" w:leftChars="200" w:hanging="200" w:hangingChars="200"/>
    </w:pPr>
    <w:rPr>
      <w:rFonts w:eastAsia="仿宋_GB2312"/>
      <w:sz w:val="32"/>
    </w:rPr>
  </w:style>
  <w:style w:type="paragraph" w:customStyle="1" w:styleId="7">
    <w:name w:val="正文 New New New New New"/>
    <w:next w:val="6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8">
    <w:name w:val="western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font71"/>
    <w:basedOn w:val="4"/>
    <w:qFormat/>
    <w:uiPriority w:val="0"/>
    <w:rPr>
      <w:rFonts w:ascii="方正小标宋简体" w:hAnsi="方正小标宋简体" w:eastAsia="方正小标宋简体" w:cs="方正小标宋简体"/>
      <w:b/>
      <w:color w:val="000000"/>
      <w:sz w:val="40"/>
      <w:szCs w:val="40"/>
      <w:u w:val="none"/>
    </w:rPr>
  </w:style>
  <w:style w:type="character" w:customStyle="1" w:styleId="10">
    <w:name w:val="font122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2020-12-16T08:54:00Z</dcterms:created>
  <dc:creator>叶婧薇</dc:creator>
  <cp:lastModifiedBy>叶婧薇</cp:lastModifiedBy>
  <dcterms:modified xsi:type="dcterms:W3CDTF">2020-12-16T08:55:06Z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