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bCs/>
          <w:color w:val="000000"/>
          <w:sz w:val="44"/>
          <w:szCs w:val="44"/>
        </w:rPr>
      </w:pPr>
      <w:r>
        <w:rPr>
          <w:rFonts w:hint="default" w:ascii="Times New Roman" w:hAnsi="Times New Roman" w:eastAsia="方正小标宋简体" w:cs="Times New Roman"/>
          <w:b/>
          <w:bCs/>
          <w:color w:val="000000"/>
          <w:sz w:val="44"/>
          <w:szCs w:val="44"/>
        </w:rPr>
        <w:t>开展乡镇市政设施和村镇建设管理</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bCs/>
          <w:color w:val="000000"/>
          <w:sz w:val="44"/>
          <w:szCs w:val="44"/>
        </w:rPr>
      </w:pPr>
      <w:bookmarkStart w:id="1" w:name="_GoBack"/>
      <w:bookmarkEnd w:id="1"/>
      <w:r>
        <w:rPr>
          <w:rFonts w:hint="default" w:ascii="Times New Roman" w:hAnsi="Times New Roman" w:eastAsia="方正小标宋简体" w:cs="Times New Roman"/>
          <w:b/>
          <w:bCs/>
          <w:color w:val="000000"/>
          <w:sz w:val="44"/>
          <w:szCs w:val="44"/>
        </w:rPr>
        <w:t>“两不一增”行动工作方案</w:t>
      </w:r>
    </w:p>
    <w:p>
      <w:pPr>
        <w:keepNext w:val="0"/>
        <w:keepLines w:val="0"/>
        <w:pageBreakBefore w:val="0"/>
        <w:widowControl w:val="0"/>
        <w:kinsoku/>
        <w:wordWrap/>
        <w:overflowPunct w:val="0"/>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楷体简体" w:cs="Times New Roman"/>
          <w:b/>
          <w:bCs/>
          <w:color w:val="000000"/>
          <w:sz w:val="36"/>
          <w:szCs w:val="36"/>
        </w:rPr>
      </w:pPr>
      <w:r>
        <w:rPr>
          <w:rFonts w:hint="default" w:ascii="Times New Roman" w:hAnsi="Times New Roman" w:eastAsia="方正楷体简体" w:cs="Times New Roman"/>
          <w:b/>
          <w:bCs/>
          <w:sz w:val="36"/>
          <w:szCs w:val="36"/>
        </w:rPr>
        <w:t>（</w:t>
      </w:r>
      <w:r>
        <w:rPr>
          <w:rFonts w:hint="eastAsia" w:ascii="Times New Roman" w:hAnsi="Times New Roman" w:eastAsia="方正楷体简体" w:cs="Times New Roman"/>
          <w:b/>
          <w:bCs/>
          <w:sz w:val="36"/>
          <w:szCs w:val="36"/>
          <w:lang w:eastAsia="zh-CN"/>
        </w:rPr>
        <w:t>征求意见</w:t>
      </w:r>
      <w:r>
        <w:rPr>
          <w:rFonts w:hint="default" w:ascii="Times New Roman" w:hAnsi="Times New Roman" w:eastAsia="方正楷体简体" w:cs="Times New Roman"/>
          <w:b/>
          <w:bCs/>
          <w:sz w:val="36"/>
          <w:szCs w:val="36"/>
        </w:rPr>
        <w:t>稿）</w:t>
      </w:r>
    </w:p>
    <w:p>
      <w:pPr>
        <w:keepNext w:val="0"/>
        <w:keepLines w:val="0"/>
        <w:pageBreakBefore w:val="0"/>
        <w:widowControl w:val="0"/>
        <w:kinsoku/>
        <w:wordWrap/>
        <w:overflowPunct w:val="0"/>
        <w:topLinePunct w:val="0"/>
        <w:autoSpaceDE/>
        <w:autoSpaceDN/>
        <w:bidi w:val="0"/>
        <w:adjustRightInd/>
        <w:snapToGrid/>
        <w:spacing w:line="700" w:lineRule="exact"/>
        <w:jc w:val="center"/>
        <w:textAlignment w:val="auto"/>
        <w:rPr>
          <w:rFonts w:hint="default" w:ascii="Times New Roman" w:hAnsi="Times New Roman" w:eastAsia="方正仿宋简体" w:cs="Times New Roman"/>
          <w:b/>
          <w:bCs/>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bookmarkStart w:id="0" w:name="_Hlk13474930"/>
      <w:r>
        <w:rPr>
          <w:rFonts w:hint="default" w:ascii="Times New Roman" w:hAnsi="Times New Roman" w:eastAsia="方正仿宋简体" w:cs="Times New Roman"/>
          <w:b/>
          <w:spacing w:val="6"/>
          <w:sz w:val="36"/>
          <w:szCs w:val="36"/>
        </w:rPr>
        <w:t>按照省委关于做好两项改革“后半篇”文章部署要求，为进一步</w:t>
      </w:r>
      <w:r>
        <w:rPr>
          <w:rFonts w:hint="eastAsia" w:ascii="Times New Roman" w:hAnsi="Times New Roman" w:eastAsia="方正仿宋简体" w:cs="Times New Roman"/>
          <w:b/>
          <w:spacing w:val="6"/>
          <w:sz w:val="36"/>
          <w:szCs w:val="36"/>
          <w:lang w:eastAsia="zh-CN"/>
        </w:rPr>
        <w:t>加强乡镇市政设施和村镇建设管理</w:t>
      </w:r>
      <w:r>
        <w:rPr>
          <w:rFonts w:hint="default" w:ascii="Times New Roman" w:hAnsi="Times New Roman" w:eastAsia="方正仿宋简体" w:cs="Times New Roman"/>
          <w:b/>
          <w:spacing w:val="6"/>
          <w:sz w:val="36"/>
          <w:szCs w:val="36"/>
        </w:rPr>
        <w:t>，现制定如下工作方案。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以习近平新时代中国特色社会主义思想为指导，聚焦“两项改革”后的新形势新问题，以优化资源配置、提升发展质量、增强服务能力、提高治理效能为重点，实施“两不一增”专项行动（不过度建设市政设施、不降低维护管理水平、增强村镇建设管理能力），2021年底，全省涉改乡镇污水垃圾处理设施得到调整优化，市政设施资源配置更加合理，运营管护长效机制进一步健全，宜居品质不断提升，村镇建设管理能力有效增强。</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（一）实施被撤并乡镇市政设施不过度建设专项行动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开展被撤并乡镇污水处理设施评估论证和提质增效。按照“实事求是、减量提质、共建共享”的原则，指导地方政府开展被撤并乡镇在建、立项或拟建污水处理设施项目评估论证工作，重新审视和优化调整建设规模、处理工艺和排放标准，不过度超前建设、不盲目提标求大，防止被撤并乡镇因人口和产业转移而造成市政设施过度建设、重复建设和闲置浪费。因地制宜推进被撤并乡镇生活污水处理设施优化减量和提质增效，着力提高被撤并乡镇污水收集处理率。2021年，以初步摸排的111个被撤并乡镇（详见附件1）在建或拟建污水项目（设计处理规模3.35万吨/日）为对象，3月之前启动调研评估，6月之前各县（市、区）形成本地区评估论证结果并提出优化调整措施，年底前完成优化调整工作。同步制定《关于加快推动新时期乡镇生活污水治理十条措施》和《四川省农村生活污水治理业务知识参考读本》，对于环境容量较大、土地资源充足、常住人口较少的被撤并乡镇，鼓励集中收集处理后资源化利用；鼓励采用低成本、低能耗、易维护、易监管的处理工艺，不搞污水排放标准“一刀切”，非重点控制流域和非水源保护区的乡镇污水处理设施，不强制执行一级A排放标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优化调整被撤并乡镇生活垃圾收转运处置体系。根据“两项改革”后乡镇、行政村的空间布局、人口规模、垃圾产生量等因素，对被撤并乡镇的垃圾收集、转运、处置设施布局、数量、规模和运输线路进行优化调整（详见附件2）。按照被撤并乡镇交通距离远近，因地制宜选择集中处理、片区处理、就地就近处理模式；按照交通便利、便于作业的原则，科学设置被撤并乡村垃圾分类收集点，共建共享乡镇垃圾中转站，合理配备垃圾收运车辆，重新组织收运线路，提高运输效率，节约收运成本。2021年，以初步摸排的127条被撤并乡镇垃圾收转运路线和86座新（改）建垃圾转运站（设计处理规模2172吨/日）为对象，3月之前启动调研评估，6月之前各县（市、区）形成本地区评估论证结果并提出优化调整措施，年底前完成优化调整工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（二）实施被撤并乡镇市政设施不降低维护管理水平专项行动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明确被撤并乡镇市政设施管护责任。被撤并乡镇市政设施维护管理应实行属地负责制，合并后的新乡镇人民政府是被撤并乡镇市政设施维护管理的责任主体，要统筹兼顾新老场镇，落实被撤并场镇市政设施建设维护管理专门人员、资金安排和配套措施，确保被撤并场镇市政设施建设日常管理不缺位、服务水平不降低、资金安排不断档、维护管护不脱节。各县（市、区）要加大对乡镇市政设施维护管理的资金投入，并列入财政预算，保障被撤并乡镇污水、垃圾、燃气、市政道路、路灯公厕、环卫绿化等市政设施维护管理。2021年，开展全省被撤并乡镇市政设施管护情况专项督查，采取市（州）自查和省级抽查相结合的方式，督查不少于10%的被撤并乡镇，及时通报督查结果，针对问题督导当地政府制定整改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4.健全污水垃圾处理设施维护管理长效机制。要保持被撤并乡镇污水垃圾处理设施管护方式的稳定性和长效性，原本无专业运营单位负责维护管理的，要按照“以城带乡”的方式，统筹兼顾新场镇与被撤并场镇污水处理设施，由专业的运营单位负责维护管理；原本由专业运营单位负责维护管理的，专业运营单位不能因乡镇被撤并而撤出；原本由专门业务人员进行维护管理的，专门业务人员不能因乡镇被撤并而调离；原本安排专项维护资金的，专项维护资金不能因乡镇被撤并而取消。实施新老场镇环卫一体化运营模式，建立全域统一的保洁机制，加强新老场镇环卫设施统一运营、业务人员统一管理、运维费用统一配套。鼓励在县域内组建集投资、建设、运营、管理为一体的生态环保投资公司，对包括被撤并乡镇污水垃圾等在内的环保项目进行统一建设运营和管理。2021年，制定出台《四川省建制镇生活污水处理设施建设和运行管理技术指南》《农村生活污水处理设施长效运维管理手册》。</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（三）实施增强村镇建设管理能力专项行动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5.整合提升村镇建设管理职能。建强乡镇规划建设管理机构，落实市政设施维护管理和农房建设管理责任，完善运行机制、增强管理能力、提升管理效能，着力解决“两项改革”后由于乡镇合并导致农房建设管理范围扩大、监管能力不足的问题；推动县级业务部门管理职能延伸和重心下沉，加大对乡镇业务指导，建立部门协同、齐抓共管、上下联动的村镇建设管理机制。2021年，印发《关于加强村镇建设管理能力的指导意见》，重点提升中心镇的村镇建设管理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6.开展中心镇建设培训工作。将中心镇建设培训纳入地方党政领导干部培训计划，指导支持开展以乡镇党委政府主要领导为对象的相关专题培训，住房城乡建设部门明确师资力量、优选培训课程，加强培训指导。通过开展中心镇规划建设管理培训，进一步统一思想认识、明确工作重点、细化目标任务，提升乡镇党委政府主要领导在规划设计、项目统筹、市政设施建设、农房建设管理和小城镇改革创新等方面的综合能力，确保中心镇建设工作顺利有序推进。2021年，完成入库备案的300个候选省级百强中心镇党委或政府主要领导培训工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三、保障措施</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（一）加强组织领导。</w:t>
      </w:r>
      <w:r>
        <w:rPr>
          <w:rFonts w:hint="default" w:ascii="Times New Roman" w:hAnsi="Times New Roman" w:eastAsia="方正仿宋简体" w:cs="Times New Roman"/>
          <w:b/>
          <w:spacing w:val="6"/>
          <w:sz w:val="36"/>
          <w:szCs w:val="36"/>
        </w:rPr>
        <w:t>坚持政府主导，县（市、区）人民政府要切实加强乡镇市政设施建设及农房建设管理的组织领导，细化措施，压实责任，有序开展场镇市政设施论证评估工作。组织、机构编制、发展改革、财政、生态环境、住房城乡建设、农业农村等部门要各司其职、各尽其责、形成合力，做好政策、资金、项目统筹，共同推动相关配套文件制定出台，大力支持场镇市政设施建设和农房建设管理工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（二）强化资金保障。</w:t>
      </w:r>
      <w:r>
        <w:rPr>
          <w:rFonts w:hint="default" w:ascii="Times New Roman" w:hAnsi="Times New Roman" w:eastAsia="方正仿宋简体" w:cs="Times New Roman"/>
          <w:b/>
          <w:spacing w:val="6"/>
          <w:sz w:val="36"/>
          <w:szCs w:val="36"/>
        </w:rPr>
        <w:t>充分利用中省农村人居环境整治、城乡生活污水及垃圾处理和中心镇建设等资金，加快项目建设。各地要加大市政设施运行管护经费投入，鼓励和引导社会资本参与被撤并乡镇的市政设施运营管理；鼓励在小城镇综合开发、土地利用、旅游发展、特色产业经营等项目招商中将被撤并乡镇市政设施项目一并捆绑招商引资；积极探索生活污水垃圾处理收费权、特许经营权质押贷款等资金筹措方式。</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（三）加强技术指导。</w:t>
      </w:r>
      <w:r>
        <w:rPr>
          <w:rFonts w:hint="default" w:ascii="Times New Roman" w:hAnsi="Times New Roman" w:eastAsia="方正仿宋简体" w:cs="Times New Roman"/>
          <w:b/>
          <w:spacing w:val="6"/>
          <w:sz w:val="36"/>
          <w:szCs w:val="36"/>
        </w:rPr>
        <w:t>大力推动“设计下乡”，引导规划、建筑、景观、市政、策划等专业技术人员下乡服务，为场镇市政设施建设和农房建设管理提供技术指导。建立乡镇和县级相关部门定向交流制度，让更多具有专业背景的部门干部进入乡镇，从事市政设施和农房建设管理工作。注重对场镇市政设施管理和技术人员的引进和培养，定期开展技术培训，加强乡镇技术力量储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left="2263" w:leftChars="0" w:hanging="2263" w:hangingChars="606"/>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 xml:space="preserve">    </w:t>
      </w:r>
      <w:r>
        <w:rPr>
          <w:rFonts w:hint="default" w:ascii="Times New Roman" w:hAnsi="Times New Roman" w:eastAsia="方正仿宋简体" w:cs="Times New Roman"/>
          <w:b/>
          <w:spacing w:val="6"/>
          <w:sz w:val="36"/>
          <w:szCs w:val="36"/>
        </w:rPr>
        <w:t>附件：1.全省2021年被撤并乡镇生活污水处理设施建设情况汇总表</w:t>
      </w:r>
    </w:p>
    <w:p>
      <w:pPr>
        <w:keepNext w:val="0"/>
        <w:keepLines w:val="0"/>
        <w:pageBreakBefore w:val="0"/>
        <w:widowControl w:val="0"/>
        <w:kinsoku/>
        <w:wordWrap/>
        <w:overflowPunct/>
        <w:topLinePunct w:val="0"/>
        <w:autoSpaceDE/>
        <w:autoSpaceDN/>
        <w:bidi w:val="0"/>
        <w:adjustRightInd/>
        <w:snapToGrid/>
        <w:spacing w:line="620" w:lineRule="exact"/>
        <w:ind w:left="2323" w:leftChars="0" w:hanging="2323" w:hangingChars="622"/>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 xml:space="preserve">   </w:t>
      </w:r>
      <w:r>
        <w:rPr>
          <w:rFonts w:hint="default" w:ascii="Times New Roman" w:hAnsi="Times New Roman" w:eastAsia="方正仿宋简体" w:cs="Times New Roman"/>
          <w:b/>
          <w:spacing w:val="6"/>
          <w:sz w:val="36"/>
          <w:szCs w:val="36"/>
          <w:lang w:val="en-US" w:eastAsia="zh-CN"/>
        </w:rPr>
        <w:t xml:space="preserve">   </w:t>
      </w:r>
      <w:r>
        <w:rPr>
          <w:rFonts w:hint="default" w:ascii="Times New Roman" w:hAnsi="Times New Roman" w:eastAsia="方正仿宋简体" w:cs="Times New Roman"/>
          <w:b/>
          <w:spacing w:val="6"/>
          <w:sz w:val="36"/>
          <w:szCs w:val="36"/>
        </w:rPr>
        <w:t xml:space="preserve">    2.全省2021年被撤并乡镇生活垃圾收转运处置体系建设情况汇总表</w:t>
      </w:r>
    </w:p>
    <w:p>
      <w:pPr>
        <w:sectPr>
          <w:pgSz w:w="11906" w:h="16838"/>
          <w:pgMar w:top="1440" w:right="1800" w:bottom="1440" w:left="1800" w:header="851" w:footer="992" w:gutter="0"/>
          <w:cols w:space="425" w:num="1"/>
          <w:docGrid w:type="lines" w:linePitch="312" w:charSpace="0"/>
        </w:sectPr>
      </w:pPr>
    </w:p>
    <w:tbl>
      <w:tblPr>
        <w:tblW w:w="14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9"/>
        <w:gridCol w:w="869"/>
        <w:gridCol w:w="1079"/>
        <w:gridCol w:w="1560"/>
        <w:gridCol w:w="1635"/>
        <w:gridCol w:w="1740"/>
        <w:gridCol w:w="2700"/>
        <w:gridCol w:w="4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719"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22"/>
                <w:szCs w:val="22"/>
                <w:u w:val="none"/>
                <w:lang w:val="en-US" w:eastAsia="zh-CN" w:bidi="ar"/>
              </w:rPr>
              <w:t>附件1</w:t>
            </w:r>
          </w:p>
        </w:tc>
        <w:tc>
          <w:tcPr>
            <w:tcW w:w="869"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079"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560"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635"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1740"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2700"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c>
          <w:tcPr>
            <w:tcW w:w="4304" w:type="dxa"/>
            <w:shd w:val="clear"/>
            <w:vAlign w:val="center"/>
          </w:tcPr>
          <w:p>
            <w:pPr>
              <w:jc w:val="center"/>
              <w:rPr>
                <w:rFonts w:hint="eastAsia" w:ascii="方正小标宋简体" w:hAnsi="方正小标宋简体" w:eastAsia="方正小标宋简体" w:cs="方正小标宋简体"/>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606" w:type="dxa"/>
            <w:gridSpan w:val="8"/>
            <w:shd w:val="cle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全省2021年被撤并乡镇生活污水处理设施建设情况汇总表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8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市州</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区县</w:t>
            </w:r>
          </w:p>
        </w:tc>
        <w:tc>
          <w:tcPr>
            <w:tcW w:w="15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被撤并乡（镇）名称</w:t>
            </w:r>
          </w:p>
        </w:tc>
        <w:tc>
          <w:tcPr>
            <w:tcW w:w="163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撤并后新乡（镇）名称</w:t>
            </w:r>
          </w:p>
        </w:tc>
        <w:tc>
          <w:tcPr>
            <w:tcW w:w="874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被撤并乡镇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18"/>
                <w:szCs w:val="18"/>
                <w:u w:val="none"/>
              </w:rPr>
            </w:pPr>
          </w:p>
        </w:tc>
        <w:tc>
          <w:tcPr>
            <w:tcW w:w="8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18"/>
                <w:szCs w:val="18"/>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18"/>
                <w:szCs w:val="18"/>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18"/>
                <w:szCs w:val="18"/>
                <w:u w:val="none"/>
              </w:rPr>
            </w:pP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2021年计划新建（改建）类型</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“两项改革后”计划新（改）建设计处理规模（吨/日）</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成都</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东部新区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五指乡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高明镇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45</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五指乡污水处理站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成都</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东部新区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老君井乡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贾家街道</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老君井污水处理站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成都</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新津区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金华镇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普兴街道</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12000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新津红岩污水处理厂改扩建项目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成都</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蒲江县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白云乡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朝阳湖镇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白云乡污水处理厂提标改造工程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成都</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蒲江县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复兴乡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西来镇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复兴乡污水处理厂提标改造工程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攀枝花</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盐边县</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惠民乡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惠民镇</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惠民乡污水处理厂工程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攀枝花</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仁和区</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总发乡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仁和镇</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总发乡污水处理厂工程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香溪乡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清水镇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香溪村污水处理设施及管网项目建设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沙坝乡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沙坝社区场镇污水处理设施及管网项目建设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紫云乡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元坝镇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紫云村污水处理设施及管网项目建设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白果乡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红岩镇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红岩镇污水管网改造项目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昭化区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明觉镇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射箭镇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射箭镇污水管网改造项目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蒲家乡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蒲家污水处理设施项目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渔洞乡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渔洞污水处理设施项目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平溪乡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曾家镇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平溪污水处理设施项目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文安乡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大滩镇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文安污水处理设施项目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柏杨乡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大滩镇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柏杨污水处理设施项目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朝天区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马家坝乡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水磨沟镇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马家坝污水处理设施项目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禅林乡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东青镇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禅林乡污水处理设施项目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中土镇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元坝镇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中土镇污水处理设施项目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石门乡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元坝镇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石门乡污水处理设施项目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石灶乡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东溪镇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石灶乡污水处理设施项目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雍河乡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龙王镇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雍河乡污水处理设施项目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新观乡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龙王镇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新观乡污水处理设施项目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河地镇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双河乡污水处理设施项目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苍溪县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龙洞乡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黄猫垭镇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龙洞乡污水处理设施项目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青川县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乐安寺乡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乐安镇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乐安寺乡污水处理站建设项目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广元</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青川县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建峰乡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建峰镇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建峰乡污水处理站建设项目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万林乡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瞿河镇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万林乡集镇污水处理站及管网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万林乡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瞿河镇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万林乡土门垭污水处理站及管网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凤来镇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金家镇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富丰污水处理站及管网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双溪乡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双溪乡污水处理站及管网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太兴乡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天仙镇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太兴乡污水处理站及二期配套管网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伏河乡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复兴镇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伏河乡污水处理站及管网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金鹤乡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大榆镇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金鹤乡污水处理站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青堤乡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沱牌镇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青堤乡目连寺污水处理站及管网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遂宁</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射洪市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东岳乡污水处理站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内江</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威远县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碗厂镇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越溪镇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碗厂污水处理厂提标升级工程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乐山</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市中区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凌云乡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大佛街道</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市中区集镇污水处理设施及污水收集管网PPP项目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积善乡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金宝镇积善场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积善污水处理站工程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桃园乡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龙蟠镇桃园场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桃园污水处理站工程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集凤镇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龙蟠镇集凤场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集凤污水处理站工程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移山乡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曲水镇移山场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移山污水处理站工程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大同乡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安福镇大同场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大同污水处理站工程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嘉陵区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新庙乡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大通镇新庙场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新庙污水处理站工程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石龙镇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河溪街道办石龙场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石龙场污水处理站工程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双龙镇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七里街道办双龙场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双龙场污水处理站工程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裕华镇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江南街道办裕华场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裕华场污水处理站工程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枣碧乡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思依镇枣碧场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枣碧场污水处理站工程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河楼乡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木兰镇河楼场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河楼场污水处理站工程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朱镇乡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洪山镇朱镇场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朱镇场污水处理站工程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宝马镇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洪山镇宝马场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宝马场污水处理站工程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金城乡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妙高镇金城场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金城场污水处理站工程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福星乡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水观镇福星场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福星场污水处理站工程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宝台乡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玉台镇宝台场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宝台场污水处理站工程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方山乡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老观镇方山场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方山场污水处理站工程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西山乡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老观镇西山场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西山场污水处理站工程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金子乡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千佛镇金子场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金子场污水处理站工程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南充</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阆中市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东兴镇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文成镇东兴场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东兴场污水处理站工程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叙州区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古罗镇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观音镇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古罗镇污水处理站及配套管网工程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叙州区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古柏镇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樟海镇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古柏镇污水处理站及配套管网工程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广安</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武胜县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龙庭乡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乐善镇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乐善镇污水处理站及配套管网工程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义兴镇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雪山镇义兴社区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义兴镇污水处理站及配套管网工程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玉井乡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雪山镇玉井社区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玉井乡污水处理站及配套管网工程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舞凤乡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玉山镇舞凤社区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舞凤乡污水处理站及配套管网工程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三星乡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玉山镇三星社区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三星乡污水处理站及配套管网工程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万安乡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柳林镇万安社区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万安乡污水处理站及配套管网工程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恩阳区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石城乡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文治办事处石城社区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石城乡污水处理站及配套管网工程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平昌县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五木镇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南天门景区五木社区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五木镇污水处理站及配套管网工程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平昌县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石垭乡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三十二梁镇石垭社区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石垭乡污水处理站及配套管网工程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平昌县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高峰乡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西兴镇高峰社区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高峰乡污水处理站及配套管网工程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平昌县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大寨镇福申社区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福申乡污水处理站及配套管网工程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巴中</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平昌县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双鹿乡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驷马镇双鹿社区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双鹿乡污水处理站及配套管网工程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雅安</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天全县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多功乡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始阳镇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多功乡污水处理站及配套管网工程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雅安</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天全县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大坪乡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始阳镇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大坪乡污水处理站及配套管网工程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雅安</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天全县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鱼泉乡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思经镇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鱼泉乡污水处理站及配套管网工程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雅安</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天全县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两路乡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喇叭河镇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两路乡污水处理站及配套管网工程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眉山</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丹棱县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双桥镇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仁美镇双桥社区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双桥镇污水处理站及配套管网工程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79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眉山</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丹棱县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石桥乡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齐乐镇石桥社区</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石桥乡污水处理站及配套管网工程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眉山</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仁寿县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古佛乡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文宫镇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古佛乡污水处理站及配套管网工程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人和镇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通贤镇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人和污水处理厂及配套管网项目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顶新乡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石羊镇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顶新污水处理厂及配套管网项目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偏岩乡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龙台镇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偏岩污水处理厂及配套管网项目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城西乡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城西污水处理厂及配套管网项目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坪河乡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永清镇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坪河污水处理厂及配套管网项目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团结乡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长河源镇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团结污水处理厂及配套管网项目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悦来乡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卧佛镇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悦来污水处理厂及配套管网项目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努力乡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元坝镇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努力污水处理厂及配套管网项目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89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自治乡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驯龙镇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自治污水处理厂及配套管网项目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宝华乡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周礼镇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宝华污水处理厂及配套管网项目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九龙乡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九龙污水处理厂及配套管网项目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大埝乡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大埝污水处理厂及配套管网项目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高屋乡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李家镇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高屋污水处理厂及配套管网项目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建华乡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镇子镇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建华污水处理厂及配套管网项目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岳源乡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岳源污水处理厂及配套管网项目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石桥铺镇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石桥街道办事处</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石桥铺污水管网建设项目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白水乡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龙台镇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白水污水处理厂及配套管网项目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石鼓乡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卧佛镇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石鼓污水处理厂及配套管网项目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99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大平乡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大平镇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大平镇污水处理厂及配套管网项目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安岳县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乾龙乡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乾龙镇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乾龙镇污水处理厂及配套管网项目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雁江区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新场乡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丹山镇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新场镇污水处理厂及配套管网项目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102</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雁江区</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回龙乡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丹山镇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回龙镇污水处理厂及配套管网项目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103</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岳扎乡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墨尔多山镇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岳扎乡污水处理厂及配套管网项目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104</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丹东乡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丹东镇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丹东乡污水处理厂及配套管网项目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105</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聂呷乡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甲居镇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聂呷乡污水处理厂及配套管网项目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106</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东谷乡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东谷镇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30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东谷乡污水处理厂及配套管网项目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107</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格宗乡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格宗镇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40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格宗乡污水处理厂及配套管网项目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108</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丹巴县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半扇门乡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半扇门镇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60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半扇门乡污水处理厂及配套管网项目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109</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炉霍县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斯木镇</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虾拉坨镇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50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斯木镇污水处理厂及配套管网项目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110</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康定市</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甲根坝乡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甲根坝镇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200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甲根坝乡污水处理厂及配套管网项目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111</w:t>
            </w: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甘孜州</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得荣县</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曲雅贡乡</w:t>
            </w: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日雨镇</w:t>
            </w: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18"/>
                <w:szCs w:val="18"/>
                <w:u w:val="none"/>
              </w:rPr>
            </w:pPr>
            <w:r>
              <w:rPr>
                <w:rFonts w:hint="default" w:ascii="方正仿宋_GBK" w:hAnsi="方正仿宋_GBK" w:eastAsia="方正仿宋_GBK" w:cs="方正仿宋_GBK"/>
                <w:i w:val="0"/>
                <w:color w:val="000000"/>
                <w:kern w:val="0"/>
                <w:sz w:val="18"/>
                <w:szCs w:val="18"/>
                <w:u w:val="none"/>
                <w:lang w:val="en-US" w:eastAsia="zh-CN" w:bidi="ar"/>
              </w:rPr>
              <w:t>10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曲雅贡乡污水处理厂及配套管网项目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等线" w:hAnsi="等线" w:eastAsia="等线" w:cs="等线"/>
                <w:b/>
                <w:i w:val="0"/>
                <w:color w:val="000000"/>
                <w:sz w:val="22"/>
                <w:szCs w:val="22"/>
                <w:u w:val="none"/>
              </w:rPr>
            </w:pPr>
          </w:p>
        </w:tc>
        <w:tc>
          <w:tcPr>
            <w:tcW w:w="8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b/>
                <w:i w:val="0"/>
                <w:color w:val="000000"/>
                <w:sz w:val="22"/>
                <w:szCs w:val="22"/>
                <w:u w:val="none"/>
              </w:rPr>
            </w:pP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b/>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b/>
                <w:i w:val="0"/>
                <w:color w:val="000000"/>
                <w:sz w:val="22"/>
                <w:szCs w:val="22"/>
                <w:u w:val="none"/>
              </w:rPr>
            </w:pPr>
          </w:p>
        </w:tc>
        <w:tc>
          <w:tcPr>
            <w:tcW w:w="174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b/>
                <w:i w:val="0"/>
                <w:color w:val="000000"/>
                <w:sz w:val="22"/>
                <w:szCs w:val="22"/>
                <w:u w:val="none"/>
              </w:rPr>
            </w:pP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33490</w:t>
            </w:r>
          </w:p>
        </w:tc>
        <w:tc>
          <w:tcPr>
            <w:tcW w:w="4304"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等线" w:hAnsi="等线" w:eastAsia="等线" w:cs="等线"/>
                <w:b/>
                <w:i w:val="0"/>
                <w:color w:val="000000"/>
                <w:sz w:val="22"/>
                <w:szCs w:val="22"/>
                <w:u w:val="none"/>
              </w:rPr>
            </w:pPr>
          </w:p>
        </w:tc>
      </w:tr>
    </w:tbl>
    <w:p>
      <w:pPr>
        <w:pStyle w:val="2"/>
      </w:pPr>
    </w:p>
    <w:p/>
    <w:p>
      <w:pPr>
        <w:pStyle w:val="2"/>
      </w:pPr>
    </w:p>
    <w:p/>
    <w:p>
      <w:pPr>
        <w:pStyle w:val="2"/>
      </w:pPr>
    </w:p>
    <w:p/>
    <w:tbl>
      <w:tblPr>
        <w:tblW w:w="15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64"/>
        <w:gridCol w:w="1034"/>
        <w:gridCol w:w="944"/>
        <w:gridCol w:w="1650"/>
        <w:gridCol w:w="1079"/>
        <w:gridCol w:w="2670"/>
        <w:gridCol w:w="2100"/>
        <w:gridCol w:w="2385"/>
        <w:gridCol w:w="2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01" w:hRule="atLeast"/>
        </w:trPr>
        <w:tc>
          <w:tcPr>
            <w:tcW w:w="1064" w:type="dxa"/>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22"/>
                <w:szCs w:val="22"/>
                <w:u w:val="none"/>
                <w:lang w:val="en-US" w:eastAsia="zh-CN" w:bidi="ar"/>
              </w:rPr>
              <w:t>附件2</w:t>
            </w:r>
          </w:p>
        </w:tc>
        <w:tc>
          <w:tcPr>
            <w:tcW w:w="1034" w:type="dxa"/>
            <w:shd w:val="clear"/>
            <w:vAlign w:val="center"/>
          </w:tcPr>
          <w:p>
            <w:pPr>
              <w:rPr>
                <w:rFonts w:hint="eastAsia" w:ascii="宋体" w:hAnsi="宋体" w:eastAsia="宋体" w:cs="宋体"/>
                <w:i w:val="0"/>
                <w:color w:val="000000"/>
                <w:sz w:val="22"/>
                <w:szCs w:val="22"/>
                <w:u w:val="none"/>
              </w:rPr>
            </w:pPr>
          </w:p>
        </w:tc>
        <w:tc>
          <w:tcPr>
            <w:tcW w:w="944" w:type="dxa"/>
            <w:shd w:val="clear"/>
            <w:vAlign w:val="center"/>
          </w:tcPr>
          <w:p>
            <w:pPr>
              <w:rPr>
                <w:rFonts w:hint="eastAsia" w:ascii="宋体" w:hAnsi="宋体" w:eastAsia="宋体" w:cs="宋体"/>
                <w:i w:val="0"/>
                <w:color w:val="000000"/>
                <w:sz w:val="22"/>
                <w:szCs w:val="22"/>
                <w:u w:val="none"/>
              </w:rPr>
            </w:pPr>
          </w:p>
        </w:tc>
        <w:tc>
          <w:tcPr>
            <w:tcW w:w="1650" w:type="dxa"/>
            <w:shd w:val="clear"/>
            <w:vAlign w:val="center"/>
          </w:tcPr>
          <w:p>
            <w:pPr>
              <w:rPr>
                <w:rFonts w:hint="eastAsia" w:ascii="宋体" w:hAnsi="宋体" w:eastAsia="宋体" w:cs="宋体"/>
                <w:i w:val="0"/>
                <w:color w:val="000000"/>
                <w:sz w:val="22"/>
                <w:szCs w:val="22"/>
                <w:u w:val="none"/>
              </w:rPr>
            </w:pPr>
          </w:p>
        </w:tc>
        <w:tc>
          <w:tcPr>
            <w:tcW w:w="1079" w:type="dxa"/>
            <w:shd w:val="clear"/>
            <w:vAlign w:val="center"/>
          </w:tcPr>
          <w:p>
            <w:pPr>
              <w:rPr>
                <w:rFonts w:hint="eastAsia" w:ascii="宋体" w:hAnsi="宋体" w:eastAsia="宋体" w:cs="宋体"/>
                <w:i w:val="0"/>
                <w:color w:val="000000"/>
                <w:sz w:val="22"/>
                <w:szCs w:val="22"/>
                <w:u w:val="none"/>
              </w:rPr>
            </w:pPr>
          </w:p>
        </w:tc>
        <w:tc>
          <w:tcPr>
            <w:tcW w:w="2670" w:type="dxa"/>
            <w:shd w:val="clear"/>
            <w:vAlign w:val="center"/>
          </w:tcPr>
          <w:p>
            <w:pPr>
              <w:rPr>
                <w:rFonts w:hint="eastAsia" w:ascii="宋体" w:hAnsi="宋体" w:eastAsia="宋体" w:cs="宋体"/>
                <w:i w:val="0"/>
                <w:color w:val="000000"/>
                <w:sz w:val="22"/>
                <w:szCs w:val="22"/>
                <w:u w:val="none"/>
              </w:rPr>
            </w:pPr>
          </w:p>
        </w:tc>
        <w:tc>
          <w:tcPr>
            <w:tcW w:w="2100" w:type="dxa"/>
            <w:shd w:val="clear"/>
            <w:vAlign w:val="center"/>
          </w:tcPr>
          <w:p>
            <w:pPr>
              <w:rPr>
                <w:rFonts w:hint="eastAsia" w:ascii="宋体" w:hAnsi="宋体" w:eastAsia="宋体" w:cs="宋体"/>
                <w:i w:val="0"/>
                <w:color w:val="000000"/>
                <w:sz w:val="22"/>
                <w:szCs w:val="22"/>
                <w:u w:val="none"/>
              </w:rPr>
            </w:pPr>
          </w:p>
        </w:tc>
        <w:tc>
          <w:tcPr>
            <w:tcW w:w="2385" w:type="dxa"/>
            <w:shd w:val="clear"/>
            <w:vAlign w:val="center"/>
          </w:tcPr>
          <w:p>
            <w:pPr>
              <w:rPr>
                <w:rFonts w:hint="eastAsia" w:ascii="宋体" w:hAnsi="宋体" w:eastAsia="宋体" w:cs="宋体"/>
                <w:i w:val="0"/>
                <w:color w:val="000000"/>
                <w:sz w:val="22"/>
                <w:szCs w:val="22"/>
                <w:u w:val="none"/>
              </w:rPr>
            </w:pPr>
          </w:p>
        </w:tc>
        <w:tc>
          <w:tcPr>
            <w:tcW w:w="2804"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5730" w:type="dxa"/>
            <w:gridSpan w:val="9"/>
            <w:shd w:val="cle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全省2021年被撤并乡镇生活垃圾收转运处置体系建设情况汇总表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市州</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区县</w:t>
            </w:r>
          </w:p>
        </w:tc>
        <w:tc>
          <w:tcPr>
            <w:tcW w:w="16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被撤并乡（镇）名称</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撤并后新乡（镇）名称</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被撤并乡镇是否具备收转运处置能（是、否）</w:t>
            </w:r>
          </w:p>
        </w:tc>
        <w:tc>
          <w:tcPr>
            <w:tcW w:w="7289"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被撤并乡镇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06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2021计划优化调整收运线路条数</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2021年计划新建及改造垃圾中转站个数</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Style w:val="5"/>
                <w:lang w:val="en-US" w:eastAsia="zh-CN" w:bidi="ar"/>
              </w:rPr>
              <w:t>计划新建及改造垃圾中转站规模（吨/日）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贡井区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贡井区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牛尾乡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莲花镇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大安区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何市镇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绵竹市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遵道镇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九龙镇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绵竹市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金化镇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广济镇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绵竹市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绵远镇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富新镇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绵竹市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齐天镇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紫岩街道</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绵竹市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剑南街道</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涪城区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龙门镇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青义镇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平武县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平通镇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平通羌族乡</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苍溪县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八庙镇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百利镇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尚武镇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嘉川镇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金溪镇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农建乡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木门镇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化龙乡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柳溪乡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张华镇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万山乡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大两镇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水磨镇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福庆乡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万家乡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盐河镇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旺苍县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正源乡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双汇镇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青川县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板桥乡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木鱼镇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赤化镇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宝轮镇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朝天区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陈家乡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朝天镇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朝天区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小安乡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大英县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智水乡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玉峰镇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蓬溪县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回水乡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明月镇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蓬溪县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吉星镇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鸣凤镇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蓬溪县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群力乡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吉祥镇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射洪市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玉太乡</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大榆镇</w:t>
            </w:r>
          </w:p>
        </w:tc>
        <w:tc>
          <w:tcPr>
            <w:tcW w:w="26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金鹤乡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944"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射洪市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太兴乡</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天仙镇</w:t>
            </w:r>
          </w:p>
        </w:tc>
        <w:tc>
          <w:tcPr>
            <w:tcW w:w="26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柳桥镇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田家镇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田家镇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新店乡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双桥镇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大治乡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高梁镇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椑木镇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三烈镇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双才镇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白合镇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资中县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金李井镇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鱼溪镇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资中县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骝马镇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双龙镇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铺子湾</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严陵镇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两河镇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连界镇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庆卫镇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镇西镇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黄荆沟</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山王镇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碗厂镇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越溪镇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内江市</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威远县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靖和镇</w:t>
            </w:r>
          </w:p>
        </w:tc>
        <w:tc>
          <w:tcPr>
            <w:tcW w:w="10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东联镇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五通桥区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桥沟镇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关庙乡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牟子镇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罗汉镇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水口镇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石龙乡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白马镇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石龙乡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土主镇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杨湾乡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苏稽镇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临江镇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平兴镇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车子镇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井研县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金峰乡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集益镇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井研县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磨池乡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王村镇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井研县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东林镇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东林镇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沐川县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凤村乡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利店镇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犍为县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塘坝乡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玉津镇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下渡乡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犍为县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定文镇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定文镇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范店乡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龚嘴镇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轸溪镇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谭坝乡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沙湾区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碧山乡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踏水镇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永清乡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南台街道办</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青龙乡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义兴镇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双江乡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仁和镇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晋城街道办</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宏桥乡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常林镇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李桥乡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古楼镇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金源乡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古楼镇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解元乡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二龙镇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垭口乡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江南街道办事处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裕华镇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江南街道办事处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东兴镇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文成镇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清泉乡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治平乡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飞凤镇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天宫镇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天宫镇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大垭乡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金垭镇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金城乡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妙高镇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翠屏区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邱场镇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金秋湖镇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翠屏区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明威镇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翠屏区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王场镇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翠屏区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白花镇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花白镇</w:t>
            </w:r>
          </w:p>
        </w:tc>
        <w:tc>
          <w:tcPr>
            <w:tcW w:w="2670"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翠屏区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孔滩镇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珙县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下罗镇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上罗镇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珙县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恒丰乡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孝儿镇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珙县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孝儿镇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南溪区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留宾乡</w:t>
            </w:r>
          </w:p>
        </w:tc>
        <w:tc>
          <w:tcPr>
            <w:tcW w:w="1079"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裴石镇</w:t>
            </w:r>
          </w:p>
        </w:tc>
        <w:tc>
          <w:tcPr>
            <w:tcW w:w="2670"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left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left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left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古罗镇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古柏镇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樟海镇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隆兴乡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樟海镇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李场镇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樟海镇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复龙镇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横江镇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泥南镇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蕨溪镇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喜捷镇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柏溪街道</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宜宾市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叙州区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赵场街道</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华蓥市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观音溪镇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高兴镇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南风乡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响滩镇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黑水乡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响滩镇</w:t>
            </w:r>
          </w:p>
        </w:tc>
        <w:tc>
          <w:tcPr>
            <w:tcW w:w="2670"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响滩镇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高峰镇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西兴镇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喜神乡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江家口镇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坦溪镇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同州街道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办事处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五木镇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德胜镇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鹿鸣镇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邱家镇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澌滩镇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邱家镇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元石镇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江口街道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办事处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双鹿乡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驷马镇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青凤镇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板庙镇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南江县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马鞍乡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岩口镇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花溪乡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水宁寺镇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羊风乡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鼎山镇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龙背乡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鼎山镇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关渡乡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梓潼庙镇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化成镇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梓潼庙镇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天马山镇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金碑乡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曾口镇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巴中市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巴州区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凌云乡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玉堂办事处</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芦山县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清仁乡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芦阳街道</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城东乡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蒙阳街道</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解放乡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百丈镇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廖场乡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黑竹镇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红岩乡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前进镇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建山乡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万古镇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联江乡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茅河镇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始阳镇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大坪乡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始阳镇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鱼泉乡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思经镇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紫石乡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喇叭河镇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天全县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两路乡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喇叭河镇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石棉县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挖角乡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田湾乡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王岗坪乡</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丹棱县</w:t>
            </w:r>
          </w:p>
        </w:tc>
        <w:tc>
          <w:tcPr>
            <w:tcW w:w="16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丹棱镇、双桥镇、石桥乡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齐乐镇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丹棱县</w:t>
            </w:r>
          </w:p>
        </w:tc>
        <w:tc>
          <w:tcPr>
            <w:tcW w:w="16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仁美镇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三宝镇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将军镇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将军乡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花溪镇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洪雅县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汉王乡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曲江镇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方家镇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松峰乡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汪洋镇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涂家乡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汪洋镇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103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锦江镇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103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牧马镇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城堰乡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北斗镇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清水镇</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视高街道</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兴盛镇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里仁镇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龙桥乡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龙马镇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眉山天府新区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向家镇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贵平镇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雁江区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回龙乡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雁江区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新场乡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丹山镇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雁江区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碑记镇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丰裕镇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雁江区</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忠义镇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丰裕镇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马尔康市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卓克基镇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马尔康镇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飞虹乡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沟口镇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黑虎乡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黑虎镇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洼底乡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洼底镇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曲谷乡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赤不苏镇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茂县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雅都镇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壤塘县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壤柯镇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岗木达镇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牟尼沟乡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进安镇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进安回族乡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进安镇</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大寨乡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松潘县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青云乡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青云镇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乡城县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尼斯镇</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香巴拉镇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乡城县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青麦乡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青德镇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石渠县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麻呷乡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洛须镇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九龙县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俄尔乡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三垭镇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九龙县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斜卡乡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雪洼龙镇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10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康定市</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三合乡</w:t>
            </w: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金汤镇</w:t>
            </w: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否</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得荣县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曲雅贡乡</w:t>
            </w:r>
          </w:p>
        </w:tc>
        <w:tc>
          <w:tcPr>
            <w:tcW w:w="10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日雨镇</w:t>
            </w:r>
          </w:p>
        </w:tc>
        <w:tc>
          <w:tcPr>
            <w:tcW w:w="26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w:t>
            </w:r>
          </w:p>
        </w:tc>
        <w:tc>
          <w:tcPr>
            <w:tcW w:w="21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04"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103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甘孜州</w:t>
            </w:r>
          </w:p>
        </w:tc>
        <w:tc>
          <w:tcPr>
            <w:tcW w:w="944"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得荣县</w:t>
            </w: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日龙乡</w:t>
            </w:r>
          </w:p>
        </w:tc>
        <w:tc>
          <w:tcPr>
            <w:tcW w:w="107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c>
          <w:tcPr>
            <w:tcW w:w="280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1" w:hRule="atLeast"/>
        </w:trPr>
        <w:tc>
          <w:tcPr>
            <w:tcW w:w="1064"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0"/>
                <w:szCs w:val="20"/>
                <w:u w:val="none"/>
              </w:rPr>
            </w:pPr>
          </w:p>
        </w:tc>
        <w:tc>
          <w:tcPr>
            <w:tcW w:w="1034"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9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107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6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0"/>
                <w:szCs w:val="20"/>
                <w:u w:val="none"/>
              </w:rPr>
            </w:pP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127</w:t>
            </w:r>
          </w:p>
        </w:tc>
        <w:tc>
          <w:tcPr>
            <w:tcW w:w="238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86</w:t>
            </w:r>
          </w:p>
        </w:tc>
        <w:tc>
          <w:tcPr>
            <w:tcW w:w="280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2712</w:t>
            </w: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055EE"/>
    <w:rsid w:val="6660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character" w:customStyle="1" w:styleId="5">
    <w:name w:val="font31"/>
    <w:basedOn w:val="3"/>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2020-12-16T09:04:00Z</dcterms:created>
  <dc:creator>叶婧薇</dc:creator>
  <cp:lastModifiedBy>叶婧薇</cp:lastModifiedBy>
  <dcterms:modified xsi:type="dcterms:W3CDTF">2020-12-16T09:07:48Z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