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tiff" ContentType="image/tiff"/>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8"/>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p>
        </w:tc>
        <w:tc>
          <w:tcPr>
            <w:tcW w:w="8855" w:type="dxa"/>
          </w:tcPr>
          <w:p>
            <w:pPr>
              <w:pStyle w:val="19"/>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     </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CCS</w:t>
            </w:r>
          </w:p>
        </w:tc>
        <w:tc>
          <w:tcPr>
            <w:tcW w:w="8855"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bookmarkStart w:id="457" w:name="_GoBack"/>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     </w:t>
            </w:r>
            <w:r>
              <w:rPr>
                <w:rFonts w:ascii="黑体" w:hAnsi="黑体" w:eastAsia="黑体"/>
                <w:sz w:val="21"/>
                <w:szCs w:val="21"/>
              </w:rPr>
              <w:fldChar w:fldCharType="end"/>
            </w:r>
            <w:bookmarkEnd w:id="457"/>
            <w:bookmarkEnd w:id="1"/>
          </w:p>
        </w:tc>
      </w:tr>
    </w:tbl>
    <w:tbl>
      <w:tblPr>
        <w:tblStyle w:val="28"/>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661"/>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PrEx>
        <w:tc>
          <w:tcPr>
            <w:tcW w:w="6661" w:type="dxa"/>
          </w:tcPr>
          <w:p>
            <w:pPr>
              <w:pStyle w:val="50"/>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51</w:t>
            </w:r>
            <w:r>
              <w:fldChar w:fldCharType="end"/>
            </w:r>
            <w:bookmarkEnd w:id="3"/>
          </w:p>
        </w:tc>
      </w:tr>
    </w:tbl>
    <w:p>
      <w:pPr>
        <w:pStyle w:val="51"/>
        <w:framePr w:w="9639" w:h="624" w:hRule="exact" w:hSpace="181" w:vSpace="181" w:hAnchor="page" w:x="1305" w:y="2269"/>
        <w:rPr>
          <w:rFonts w:ascii="黑体" w:eastAsia="黑体"/>
          <w:b w:val="0"/>
          <w:w w:val="100"/>
          <w:sz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四川省地方标准</w:t>
      </w:r>
    </w:p>
    <w:p>
      <w:pPr>
        <w:pStyle w:val="51"/>
        <w:framePr w:w="9639" w:h="624" w:hRule="exact" w:hSpace="181" w:vSpace="181" w:hAnchor="page" w:x="1305" w:y="2269"/>
        <w:rPr>
          <w:rFonts w:ascii="黑体" w:hAnsi="黑体" w:eastAsia="黑体"/>
          <w:b w:val="0"/>
          <w:bCs w:val="0"/>
          <w:w w:val="100"/>
          <w:sz w:val="48"/>
          <w:szCs w:val="48"/>
        </w:rPr>
      </w:pP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6"/>
      </w:pPr>
      <w:r>
        <w:t>DB</w:t>
      </w:r>
      <w:r>
        <w:fldChar w:fldCharType="begin">
          <w:ffData>
            <w:name w:val="文字1"/>
            <w:enabled/>
            <w:calcOnExit w:val="0"/>
            <w:textInput>
              <w:default w:val="XX"/>
            </w:textInput>
          </w:ffData>
        </w:fldChar>
      </w:r>
      <w:bookmarkStart w:id="5" w:name="文字1"/>
      <w:r>
        <w:instrText xml:space="preserve"> FORMTEXT </w:instrText>
      </w:r>
      <w:r>
        <w:fldChar w:fldCharType="separate"/>
      </w:r>
      <w:r>
        <w:t>XX</w:t>
      </w:r>
      <w:r>
        <w:fldChar w:fldCharType="end"/>
      </w:r>
      <w:bookmarkEnd w:id="5"/>
      <w:r>
        <w:fldChar w:fldCharType="begin">
          <w:ffData>
            <w:name w:val="NSTD_CODE_F"/>
            <w:enabled/>
            <w:calcOnExit w:val="0"/>
            <w:textInput>
              <w:default w:val="XXXXX"/>
            </w:textInput>
          </w:ffData>
        </w:fldChar>
      </w:r>
      <w:bookmarkStart w:id="6" w:name="NSTD_CODE_F"/>
      <w:r>
        <w:instrText xml:space="preserve"> FORMTEXT </w:instrText>
      </w:r>
      <w:r>
        <w:fldChar w:fldCharType="separate"/>
      </w:r>
      <w:r>
        <w:t>XXXXX</w:t>
      </w:r>
      <w:r>
        <w:fldChar w:fldCharType="end"/>
      </w:r>
      <w:bookmarkEnd w:id="6"/>
      <w:r>
        <w:rPr>
          <w:rFonts w:hAnsi="黑体"/>
        </w:rPr>
        <w:t>—</w:t>
      </w:r>
      <w:r>
        <w:fldChar w:fldCharType="begin">
          <w:ffData>
            <w:name w:val="NSTD_CODE_B"/>
            <w:enabled/>
            <w:calcOnExit w:val="0"/>
            <w:textInput>
              <w:default w:val="XXXX"/>
            </w:textInput>
          </w:ffData>
        </w:fldChar>
      </w:r>
      <w:bookmarkStart w:id="7" w:name="NSTD_CODE_B"/>
      <w:r>
        <w:instrText xml:space="preserve"> FORMTEXT </w:instrText>
      </w:r>
      <w:r>
        <w:fldChar w:fldCharType="separate"/>
      </w:r>
      <w:r>
        <w:t>XXXX</w:t>
      </w:r>
      <w:r>
        <w:fldChar w:fldCharType="end"/>
      </w:r>
      <w:bookmarkEnd w:id="7"/>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eD&#10;SZbYAAAADAEAAA8AAAAAAAAAAQAgAAAAIgAAAGRycy9kb3ducmV2LnhtbFBLAQIUABQAAAAIAIdO&#10;4kDurh1R6gEAALoDAAAOAAAAAAAAAAEAIAAAACcBAABkcnMvZTJvRG9jLnhtbFBLBQYAAAAABgAG&#10;AFkBAACDBQAAAAA=&#10;">
                <v:fill on="f" focussize="0,0"/>
                <v:stroke color="#000000" joinstyle="round"/>
                <v:imagedata o:title=""/>
                <o:lock v:ext="edit" aspectratio="f"/>
              </v:line>
            </w:pict>
          </mc:Fallback>
        </mc:AlternateContent>
      </w:r>
    </w:p>
    <w:p>
      <w:pPr>
        <w:pStyle w:val="51"/>
        <w:framePr w:w="9639" w:h="6976" w:hRule="exact" w:hSpace="0" w:vSpace="0" w:hAnchor="page" w:y="6408"/>
        <w:jc w:val="center"/>
        <w:rPr>
          <w:rFonts w:ascii="黑体" w:hAnsi="黑体" w:eastAsia="黑体"/>
          <w:b w:val="0"/>
          <w:bCs w:val="0"/>
          <w:w w:val="100"/>
        </w:rPr>
      </w:pPr>
    </w:p>
    <w:p>
      <w:pPr>
        <w:pStyle w:val="198"/>
        <w:framePr w:h="6974" w:hRule="exact" w:x="1419" w:anchorLock="1"/>
      </w:pPr>
      <w:r>
        <w:fldChar w:fldCharType="begin">
          <w:ffData>
            <w:name w:val="CSTD_NAME"/>
            <w:enabled/>
            <w:calcOnExit w:val="0"/>
            <w:textInput>
              <w:default w:val="点击此处添加标准名称"/>
            </w:textInput>
          </w:ffData>
        </w:fldChar>
      </w:r>
      <w:bookmarkStart w:id="8" w:name="CSTD_NAME"/>
      <w:r>
        <w:instrText xml:space="preserve"> FORMTEXT </w:instrText>
      </w:r>
      <w:r>
        <w:fldChar w:fldCharType="separate"/>
      </w:r>
      <w:r>
        <w:t>社会救助综合服务平台建设规范</w:t>
      </w:r>
      <w:r>
        <w:fldChar w:fldCharType="end"/>
      </w:r>
      <w:bookmarkEnd w:id="8"/>
    </w:p>
    <w:p>
      <w:pPr>
        <w:framePr w:w="9639" w:h="6974" w:hRule="exact" w:wrap="around" w:vAnchor="page" w:hAnchor="page" w:x="1419" w:y="6408" w:anchorLock="1"/>
        <w:ind w:left="-1418"/>
      </w:pPr>
    </w:p>
    <w:p>
      <w:pPr>
        <w:framePr w:w="9639" w:h="6974" w:hRule="exact" w:wrap="around" w:vAnchor="page" w:hAnchor="page" w:x="1419" w:y="6408" w:anchorLock="1"/>
        <w:spacing w:line="760" w:lineRule="exact"/>
        <w:ind w:left="-1418"/>
      </w:pPr>
    </w:p>
    <w:p>
      <w:pPr>
        <w:pStyle w:val="126"/>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9" w:name="下拉1"/>
      <w:r>
        <w:rPr>
          <w:sz w:val="24"/>
          <w:szCs w:val="28"/>
        </w:rPr>
        <w:instrText xml:space="preserve"> FORMDROPDOWN </w:instrText>
      </w:r>
      <w:r>
        <w:rPr>
          <w:sz w:val="24"/>
          <w:szCs w:val="28"/>
        </w:rPr>
        <w:fldChar w:fldCharType="separate"/>
      </w:r>
      <w:r>
        <w:rPr>
          <w:sz w:val="24"/>
          <w:szCs w:val="28"/>
        </w:rPr>
        <w:fldChar w:fldCharType="end"/>
      </w:r>
      <w:bookmarkEnd w:id="9"/>
    </w:p>
    <w:p>
      <w:pPr>
        <w:pStyle w:val="126"/>
        <w:framePr w:w="9639" w:h="6974" w:hRule="exact" w:wrap="around" w:vAnchor="page" w:hAnchor="page" w:x="1419" w:y="6408" w:anchorLock="1"/>
        <w:spacing w:before="180" w:line="240" w:lineRule="atLeast"/>
        <w:textAlignment w:val="bottom"/>
        <w:rPr>
          <w:sz w:val="21"/>
          <w:szCs w:val="28"/>
        </w:rPr>
      </w:pPr>
    </w:p>
    <w:p>
      <w:pPr>
        <w:pStyle w:val="194"/>
        <w:framePr w:y="14176"/>
      </w:pPr>
      <w:r>
        <w:rPr>
          <w:rFonts w:ascii="黑体"/>
        </w:rPr>
        <w:fldChar w:fldCharType="begin">
          <w:ffData>
            <w:name w:val="PLSH_DATE_Y"/>
            <w:enabled/>
            <w:calcOnExit w:val="0"/>
            <w:textInput>
              <w:default w:val="XXXX"/>
              <w:maxLength w:val="4"/>
            </w:textInput>
          </w:ffData>
        </w:fldChar>
      </w:r>
      <w:bookmarkStart w:id="10"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0"/>
      <w:r>
        <w:rPr>
          <w:rFonts w:ascii="黑体"/>
        </w:rPr>
        <w:t>-</w:t>
      </w:r>
      <w:r>
        <w:rPr>
          <w:rFonts w:ascii="黑体"/>
        </w:rPr>
        <w:fldChar w:fldCharType="begin">
          <w:ffData>
            <w:name w:val="PLSH_DATE_M"/>
            <w:enabled/>
            <w:calcOnExit w:val="0"/>
            <w:textInput>
              <w:default w:val="XX"/>
              <w:maxLength w:val="2"/>
            </w:textInput>
          </w:ffData>
        </w:fldChar>
      </w:r>
      <w:bookmarkStart w:id="11"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1"/>
      <w:r>
        <w:rPr>
          <w:rFonts w:ascii="黑体"/>
        </w:rPr>
        <w:t>-</w:t>
      </w:r>
      <w:r>
        <w:rPr>
          <w:rFonts w:ascii="黑体"/>
        </w:rPr>
        <w:fldChar w:fldCharType="begin">
          <w:ffData>
            <w:name w:val="PLSH_DATE_D"/>
            <w:enabled/>
            <w:calcOnExit w:val="0"/>
            <w:textInput>
              <w:default w:val="XX"/>
              <w:maxLength w:val="2"/>
            </w:textInput>
          </w:ffData>
        </w:fldChar>
      </w:r>
      <w:bookmarkStart w:id="12"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2"/>
      <w:r>
        <w:rPr>
          <w:rFonts w:hint="eastAsia"/>
        </w:rPr>
        <w:t>发布</w:t>
      </w:r>
    </w:p>
    <w:p>
      <w:pPr>
        <w:pStyle w:val="195"/>
        <w:framePr w:y="14176"/>
      </w:pPr>
      <w:r>
        <w:rPr>
          <w:rFonts w:ascii="黑体"/>
        </w:rPr>
        <w:fldChar w:fldCharType="begin">
          <w:ffData>
            <w:name w:val="CROT_DATE_Y"/>
            <w:enabled/>
            <w:calcOnExit w:val="0"/>
            <w:textInput>
              <w:default w:val="XXXX"/>
              <w:maxLength w:val="4"/>
            </w:textInput>
          </w:ffData>
        </w:fldChar>
      </w:r>
      <w:bookmarkStart w:id="13"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3"/>
      <w:r>
        <w:rPr>
          <w:rFonts w:ascii="黑体"/>
        </w:rPr>
        <w:t>-</w:t>
      </w:r>
      <w:r>
        <w:rPr>
          <w:rFonts w:ascii="黑体"/>
        </w:rPr>
        <w:fldChar w:fldCharType="begin">
          <w:ffData>
            <w:name w:val="CROT_DATE_M"/>
            <w:enabled/>
            <w:calcOnExit w:val="0"/>
            <w:textInput>
              <w:default w:val="XX"/>
              <w:maxLength w:val="2"/>
            </w:textInput>
          </w:ffData>
        </w:fldChar>
      </w:r>
      <w:bookmarkStart w:id="14"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rPr>
          <w:rFonts w:ascii="黑体"/>
        </w:rPr>
        <w:t>-</w:t>
      </w:r>
      <w:r>
        <w:rPr>
          <w:rFonts w:ascii="黑体"/>
        </w:rPr>
        <w:fldChar w:fldCharType="begin">
          <w:ffData>
            <w:name w:val="CROT_DATE_D"/>
            <w:enabled/>
            <w:calcOnExit w:val="0"/>
            <w:textInput>
              <w:default w:val="XX"/>
              <w:maxLength w:val="2"/>
            </w:textInput>
          </w:ffData>
        </w:fldChar>
      </w:r>
      <w:bookmarkStart w:id="15"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rPr>
          <w:rFonts w:hint="eastAsia"/>
        </w:rPr>
        <w:t>实施</w:t>
      </w:r>
    </w:p>
    <w:p>
      <w:pPr>
        <w:pStyle w:val="152"/>
        <w:framePr w:h="584" w:hRule="exact" w:hSpace="181" w:vSpace="181" w:y="15027"/>
        <w:rPr>
          <w:rFonts w:hAnsi="黑体"/>
        </w:rPr>
      </w:pPr>
      <w:r>
        <w:rPr>
          <w:rFonts w:hAnsi="黑体"/>
          <w:w w:val="100"/>
          <w:sz w:val="28"/>
        </w:rPr>
        <w:fldChar w:fldCharType="begin">
          <w:ffData>
            <w:name w:val="fm"/>
            <w:enabled/>
            <w:calcOnExit w:val="0"/>
            <w:textInput/>
          </w:ffData>
        </w:fldChar>
      </w:r>
      <w:bookmarkStart w:id="16" w:name="fm"/>
      <w:r>
        <w:rPr>
          <w:rFonts w:hAnsi="黑体"/>
          <w:w w:val="100"/>
          <w:sz w:val="28"/>
        </w:rPr>
        <w:instrText xml:space="preserve"> FORMTEXT </w:instrText>
      </w:r>
      <w:r>
        <w:rPr>
          <w:rFonts w:hAnsi="黑体"/>
          <w:w w:val="100"/>
          <w:sz w:val="28"/>
        </w:rPr>
        <w:fldChar w:fldCharType="separate"/>
      </w:r>
      <w:r>
        <w:rPr>
          <w:rFonts w:hAnsi="黑体"/>
          <w:w w:val="100"/>
          <w:sz w:val="28"/>
        </w:rPr>
        <w:t>     </w:t>
      </w:r>
      <w:r>
        <w:rPr>
          <w:rFonts w:hAnsi="黑体"/>
          <w:w w:val="100"/>
          <w:sz w:val="28"/>
        </w:rPr>
        <w:fldChar w:fldCharType="end"/>
      </w:r>
      <w:bookmarkEnd w:id="16"/>
      <w:r>
        <w:rPr>
          <w:rFonts w:ascii="Times New Roman"/>
          <w:w w:val="100"/>
          <w:sz w:val="28"/>
        </w:rPr>
        <w:t>  </w:t>
      </w:r>
      <w:r>
        <w:rPr>
          <w:rStyle w:val="230"/>
          <w:rFonts w:hint="eastAsia" w:hAnsi="黑体"/>
          <w:position w:val="0"/>
        </w:rPr>
        <w:t>发</w:t>
      </w:r>
      <w:r>
        <w:rPr>
          <w:rStyle w:val="230"/>
          <w:rFonts w:hint="eastAsia" w:hAnsi="黑体"/>
          <w:spacing w:val="0"/>
          <w:position w:val="0"/>
        </w:rPr>
        <w:t>布</w:t>
      </w:r>
    </w:p>
    <w:p>
      <w:pPr>
        <w:rPr>
          <w:rFonts w:ascii="宋体" w:hAnsi="宋体"/>
          <w:sz w:val="28"/>
          <w:szCs w:val="28"/>
        </w:rPr>
        <w:sectPr>
          <w:headerReference r:id="rId5" w:type="first"/>
          <w:footerReference r:id="rId8" w:type="first"/>
          <w:headerReference r:id="rId3" w:type="default"/>
          <w:footerReference r:id="rId6" w:type="default"/>
          <w:headerReference r:id="rId4" w:type="even"/>
          <w:footerReference r:id="rId7" w:type="even"/>
          <w:type w:val="continuous"/>
          <w:pgSz w:w="11906" w:h="16838"/>
          <w:pgMar w:top="-338" w:right="1134" w:bottom="1021" w:left="1134" w:header="0" w:footer="0" w:gutter="284"/>
          <w:cols w:space="425" w:num="1"/>
          <w:titlePg/>
          <w:docGrid w:linePitch="312" w:charSpace="0"/>
        </w:sectPr>
      </w:pPr>
      <w:r>
        <w:rPr>
          <w:rFonts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szHPvX&#10;AAAADgEAAA8AAAAAAAAAAQAgAAAAIgAAAGRycy9kb3ducmV2LnhtbFBLAQIUABQAAAAIAIdO4kB3&#10;Ymi56AEAALgDAAAOAAAAAAAAAAEAIAAAACYBAABkcnMvZTJvRG9jLnhtbFBLBQYAAAAABgAGAFkB&#10;AACABQAAAAA=&#10;">
                <v:fill on="f" focussize="0,0"/>
                <v:stroke color="#000000" joinstyle="round"/>
                <v:imagedata o:title=""/>
                <o:lock v:ext="edit" aspectratio="f"/>
                <w10:anchorlock/>
              </v:line>
            </w:pict>
          </mc:Fallback>
        </mc:AlternateContent>
      </w:r>
    </w:p>
    <w:p>
      <w:pPr>
        <w:pStyle w:val="92"/>
        <w:spacing w:after="468"/>
      </w:pPr>
      <w:bookmarkStart w:id="17" w:name="BookMark1"/>
      <w:bookmarkStart w:id="18" w:name="_Toc70672069"/>
      <w:bookmarkStart w:id="19" w:name="_Toc70672104"/>
      <w:bookmarkStart w:id="20" w:name="_Toc67928329"/>
      <w:bookmarkStart w:id="21" w:name="_Toc71212483"/>
      <w:bookmarkStart w:id="22" w:name="_Toc71210037"/>
      <w:bookmarkStart w:id="23" w:name="_Toc69203897"/>
      <w:bookmarkStart w:id="24" w:name="_Toc71293575"/>
      <w:bookmarkStart w:id="25" w:name="_Toc68793313"/>
      <w:bookmarkStart w:id="26" w:name="_Toc68253930"/>
      <w:bookmarkStart w:id="27" w:name="_Toc70672473"/>
      <w:bookmarkStart w:id="28" w:name="_Toc67927621"/>
      <w:r>
        <w:rPr>
          <w:rFonts w:hint="eastAsia"/>
          <w:spacing w:val="320"/>
        </w:rPr>
        <w:t>目</w:t>
      </w:r>
      <w:r>
        <w:rPr>
          <w:rFonts w:hint="eastAsia"/>
        </w:rPr>
        <w:t>次</w:t>
      </w:r>
    </w:p>
    <w:p>
      <w:pPr>
        <w:pStyle w:val="20"/>
        <w:tabs>
          <w:tab w:val="right" w:leader="dot" w:pos="9344"/>
        </w:tabs>
        <w:rPr>
          <w:rFonts w:asciiTheme="minorHAnsi" w:hAnsiTheme="minorHAnsi" w:eastAsiaTheme="minorEastAsia" w:cstheme="minorBidi"/>
          <w:szCs w:val="22"/>
        </w:rPr>
      </w:pPr>
      <w:r>
        <w:fldChar w:fldCharType="begin"/>
      </w:r>
      <w:r>
        <w:instrText xml:space="preserve"> </w:instrText>
      </w:r>
      <w:r>
        <w:rPr>
          <w:rFonts w:hint="eastAsia"/>
        </w:rPr>
        <w:instrText xml:space="preserve">TOC \o "1-1" \h \t "标准文件_一级条标题,2,标准文件_附录一级条标题,2,"</w:instrText>
      </w:r>
      <w:r>
        <w:instrText xml:space="preserve"> </w:instrText>
      </w:r>
      <w:r>
        <w:fldChar w:fldCharType="separate"/>
      </w:r>
      <w:r>
        <w:fldChar w:fldCharType="begin"/>
      </w:r>
      <w:r>
        <w:instrText xml:space="preserve"> HYPERLINK \l "_Toc72162741" </w:instrText>
      </w:r>
      <w:r>
        <w:fldChar w:fldCharType="separate"/>
      </w:r>
      <w:r>
        <w:rPr>
          <w:rStyle w:val="33"/>
          <w:rFonts w:hint="eastAsia"/>
        </w:rPr>
        <w:t>前言</w:t>
      </w:r>
      <w:r>
        <w:tab/>
      </w:r>
      <w:r>
        <w:fldChar w:fldCharType="begin"/>
      </w:r>
      <w:r>
        <w:instrText xml:space="preserve"> PAGEREF _Toc72162741 \h </w:instrText>
      </w:r>
      <w:r>
        <w:fldChar w:fldCharType="separate"/>
      </w:r>
      <w:r>
        <w:t>II</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"_Toc72162742" </w:instrText>
      </w:r>
      <w:r>
        <w:fldChar w:fldCharType="separate"/>
      </w:r>
      <w:r>
        <w:rPr>
          <w:rStyle w:val="33"/>
        </w:rPr>
        <w:t xml:space="preserve">1 </w:t>
      </w:r>
      <w:r>
        <w:rPr>
          <w:rStyle w:val="33"/>
          <w:rFonts w:hint="eastAsia"/>
        </w:rPr>
        <w:t xml:space="preserve"> 范围</w:t>
      </w:r>
      <w:r>
        <w:tab/>
      </w:r>
      <w:r>
        <w:fldChar w:fldCharType="begin"/>
      </w:r>
      <w:r>
        <w:instrText xml:space="preserve"> PAGEREF _Toc72162742 \h </w:instrText>
      </w:r>
      <w:r>
        <w:fldChar w:fldCharType="separate"/>
      </w:r>
      <w:r>
        <w:t>3</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"_Toc72162743" </w:instrText>
      </w:r>
      <w:r>
        <w:fldChar w:fldCharType="separate"/>
      </w:r>
      <w:r>
        <w:rPr>
          <w:rStyle w:val="33"/>
        </w:rPr>
        <w:t xml:space="preserve">2 </w:t>
      </w:r>
      <w:r>
        <w:rPr>
          <w:rStyle w:val="33"/>
          <w:rFonts w:hint="eastAsia"/>
        </w:rPr>
        <w:t xml:space="preserve"> 规范性引用文件</w:t>
      </w:r>
      <w:r>
        <w:tab/>
      </w:r>
      <w:r>
        <w:fldChar w:fldCharType="begin"/>
      </w:r>
      <w:r>
        <w:instrText xml:space="preserve"> PAGEREF _Toc72162743 \h </w:instrText>
      </w:r>
      <w:r>
        <w:fldChar w:fldCharType="separate"/>
      </w:r>
      <w:r>
        <w:t>3</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"_Toc72162744" </w:instrText>
      </w:r>
      <w:r>
        <w:fldChar w:fldCharType="separate"/>
      </w:r>
      <w:r>
        <w:rPr>
          <w:rStyle w:val="33"/>
        </w:rPr>
        <w:t xml:space="preserve">3 </w:t>
      </w:r>
      <w:r>
        <w:rPr>
          <w:rStyle w:val="33"/>
          <w:rFonts w:hint="eastAsia"/>
        </w:rPr>
        <w:t xml:space="preserve"> 术语和定义</w:t>
      </w:r>
      <w:r>
        <w:tab/>
      </w:r>
      <w:r>
        <w:fldChar w:fldCharType="begin"/>
      </w:r>
      <w:r>
        <w:instrText xml:space="preserve"> PAGEREF _Toc72162744 \h </w:instrText>
      </w:r>
      <w:r>
        <w:fldChar w:fldCharType="separate"/>
      </w:r>
      <w:r>
        <w:t>3</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"_Toc72162745" </w:instrText>
      </w:r>
      <w:r>
        <w:fldChar w:fldCharType="separate"/>
      </w:r>
      <w:r>
        <w:rPr>
          <w:rStyle w:val="33"/>
        </w:rPr>
        <w:t xml:space="preserve">4 </w:t>
      </w:r>
      <w:r>
        <w:rPr>
          <w:rStyle w:val="33"/>
          <w:rFonts w:hint="eastAsia"/>
        </w:rPr>
        <w:t xml:space="preserve"> 建设原则</w:t>
      </w:r>
      <w:r>
        <w:tab/>
      </w:r>
      <w:r>
        <w:fldChar w:fldCharType="begin"/>
      </w:r>
      <w:r>
        <w:instrText xml:space="preserve"> PAGEREF _Toc72162745 \h </w:instrText>
      </w:r>
      <w:r>
        <w:fldChar w:fldCharType="separate"/>
      </w:r>
      <w:r>
        <w:t>3</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"_Toc72162746" </w:instrText>
      </w:r>
      <w:r>
        <w:fldChar w:fldCharType="separate"/>
      </w:r>
      <w:r>
        <w:rPr>
          <w:rStyle w:val="33"/>
        </w:rPr>
        <w:t xml:space="preserve">5 </w:t>
      </w:r>
      <w:r>
        <w:rPr>
          <w:rStyle w:val="33"/>
          <w:rFonts w:hint="eastAsia"/>
        </w:rPr>
        <w:t xml:space="preserve"> 平台架构</w:t>
      </w:r>
      <w:r>
        <w:tab/>
      </w:r>
      <w:r>
        <w:fldChar w:fldCharType="begin"/>
      </w:r>
      <w:r>
        <w:instrText xml:space="preserve"> PAGEREF _Toc72162746 \h </w:instrText>
      </w:r>
      <w:r>
        <w:fldChar w:fldCharType="separate"/>
      </w:r>
      <w:r>
        <w:t>4</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"_Toc72162747" </w:instrText>
      </w:r>
      <w:r>
        <w:fldChar w:fldCharType="separate"/>
      </w:r>
      <w:r>
        <w:rPr>
          <w:rStyle w:val="33"/>
        </w:rPr>
        <w:t xml:space="preserve">5.1 </w:t>
      </w:r>
      <w:r>
        <w:rPr>
          <w:rStyle w:val="33"/>
          <w:rFonts w:hint="eastAsia"/>
        </w:rPr>
        <w:t xml:space="preserve"> 总体要求</w:t>
      </w:r>
      <w:r>
        <w:tab/>
      </w:r>
      <w:r>
        <w:fldChar w:fldCharType="begin"/>
      </w:r>
      <w:r>
        <w:instrText xml:space="preserve"> PAGEREF _Toc72162747 \h </w:instrText>
      </w:r>
      <w:r>
        <w:fldChar w:fldCharType="separate"/>
      </w:r>
      <w:r>
        <w:t>4</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"_Toc72162748" </w:instrText>
      </w:r>
      <w:r>
        <w:fldChar w:fldCharType="separate"/>
      </w:r>
      <w:r>
        <w:rPr>
          <w:rStyle w:val="33"/>
        </w:rPr>
        <w:t xml:space="preserve">5.2 </w:t>
      </w:r>
      <w:r>
        <w:rPr>
          <w:rStyle w:val="33"/>
          <w:rFonts w:hint="eastAsia"/>
        </w:rPr>
        <w:t xml:space="preserve"> 平台安全保障体系</w:t>
      </w:r>
      <w:r>
        <w:tab/>
      </w:r>
      <w:r>
        <w:fldChar w:fldCharType="begin"/>
      </w:r>
      <w:r>
        <w:instrText xml:space="preserve"> PAGEREF _Toc72162748 \h </w:instrText>
      </w:r>
      <w:r>
        <w:fldChar w:fldCharType="separate"/>
      </w:r>
      <w:r>
        <w:t>5</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"_Toc72162749" </w:instrText>
      </w:r>
      <w:r>
        <w:fldChar w:fldCharType="separate"/>
      </w:r>
      <w:r>
        <w:rPr>
          <w:rStyle w:val="33"/>
        </w:rPr>
        <w:t xml:space="preserve">5.3 </w:t>
      </w:r>
      <w:r>
        <w:rPr>
          <w:rStyle w:val="33"/>
          <w:rFonts w:hint="eastAsia"/>
        </w:rPr>
        <w:t xml:space="preserve"> 平台运行维护保障体系</w:t>
      </w:r>
      <w:r>
        <w:tab/>
      </w:r>
      <w:r>
        <w:fldChar w:fldCharType="begin"/>
      </w:r>
      <w:r>
        <w:instrText xml:space="preserve"> PAGEREF _Toc72162749 \h </w:instrText>
      </w:r>
      <w:r>
        <w:fldChar w:fldCharType="separate"/>
      </w:r>
      <w:r>
        <w:t>5</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"_Toc72162750" </w:instrText>
      </w:r>
      <w:r>
        <w:fldChar w:fldCharType="separate"/>
      </w:r>
      <w:r>
        <w:rPr>
          <w:rStyle w:val="33"/>
        </w:rPr>
        <w:t xml:space="preserve">6 </w:t>
      </w:r>
      <w:r>
        <w:rPr>
          <w:rStyle w:val="33"/>
          <w:rFonts w:hint="eastAsia"/>
        </w:rPr>
        <w:t xml:space="preserve"> 功能要求</w:t>
      </w:r>
      <w:r>
        <w:tab/>
      </w:r>
      <w:r>
        <w:fldChar w:fldCharType="begin"/>
      </w:r>
      <w:r>
        <w:instrText xml:space="preserve"> PAGEREF _Toc72162750 \h </w:instrText>
      </w:r>
      <w:r>
        <w:fldChar w:fldCharType="separate"/>
      </w:r>
      <w:r>
        <w:t>5</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"_Toc72162751" </w:instrText>
      </w:r>
      <w:r>
        <w:fldChar w:fldCharType="separate"/>
      </w:r>
      <w:r>
        <w:rPr>
          <w:rStyle w:val="33"/>
        </w:rPr>
        <w:t xml:space="preserve">6.1 </w:t>
      </w:r>
      <w:r>
        <w:rPr>
          <w:rStyle w:val="33"/>
          <w:rFonts w:hint="eastAsia"/>
        </w:rPr>
        <w:t xml:space="preserve"> 基本要求</w:t>
      </w:r>
      <w:r>
        <w:tab/>
      </w:r>
      <w:r>
        <w:fldChar w:fldCharType="begin"/>
      </w:r>
      <w:r>
        <w:instrText xml:space="preserve"> PAGEREF _Toc72162751 \h </w:instrText>
      </w:r>
      <w:r>
        <w:fldChar w:fldCharType="separate"/>
      </w:r>
      <w:r>
        <w:t>5</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"_Toc72162752" </w:instrText>
      </w:r>
      <w:r>
        <w:fldChar w:fldCharType="separate"/>
      </w:r>
      <w:r>
        <w:rPr>
          <w:rStyle w:val="33"/>
        </w:rPr>
        <w:t xml:space="preserve">6.2 </w:t>
      </w:r>
      <w:r>
        <w:rPr>
          <w:rStyle w:val="33"/>
          <w:rFonts w:hint="eastAsia"/>
        </w:rPr>
        <w:t xml:space="preserve"> 公共服务平台</w:t>
      </w:r>
      <w:r>
        <w:tab/>
      </w:r>
      <w:r>
        <w:fldChar w:fldCharType="begin"/>
      </w:r>
      <w:r>
        <w:instrText xml:space="preserve"> PAGEREF _Toc72162752 \h </w:instrText>
      </w:r>
      <w:r>
        <w:fldChar w:fldCharType="separate"/>
      </w:r>
      <w:r>
        <w:t>5</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"_Toc72162753" </w:instrText>
      </w:r>
      <w:r>
        <w:fldChar w:fldCharType="separate"/>
      </w:r>
      <w:r>
        <w:rPr>
          <w:rStyle w:val="33"/>
        </w:rPr>
        <w:t xml:space="preserve">6.3 </w:t>
      </w:r>
      <w:r>
        <w:rPr>
          <w:rStyle w:val="33"/>
          <w:rFonts w:hint="eastAsia"/>
        </w:rPr>
        <w:t xml:space="preserve"> 业务管理平台</w:t>
      </w:r>
      <w:r>
        <w:tab/>
      </w:r>
      <w:r>
        <w:fldChar w:fldCharType="begin"/>
      </w:r>
      <w:r>
        <w:instrText xml:space="preserve"> PAGEREF _Toc72162753 \h </w:instrText>
      </w:r>
      <w:r>
        <w:fldChar w:fldCharType="separate"/>
      </w:r>
      <w:r>
        <w:t>5</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"_Toc72162754" </w:instrText>
      </w:r>
      <w:r>
        <w:fldChar w:fldCharType="separate"/>
      </w:r>
      <w:r>
        <w:rPr>
          <w:rStyle w:val="33"/>
        </w:rPr>
        <w:t xml:space="preserve">6.4 </w:t>
      </w:r>
      <w:r>
        <w:rPr>
          <w:rStyle w:val="33"/>
          <w:rFonts w:hint="eastAsia"/>
        </w:rPr>
        <w:t xml:space="preserve"> 扩展平台</w:t>
      </w:r>
      <w:r>
        <w:tab/>
      </w:r>
      <w:r>
        <w:fldChar w:fldCharType="begin"/>
      </w:r>
      <w:r>
        <w:instrText xml:space="preserve"> PAGEREF _Toc72162754 \h </w:instrText>
      </w:r>
      <w:r>
        <w:fldChar w:fldCharType="separate"/>
      </w:r>
      <w:r>
        <w:t>7</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"_Toc72162755" </w:instrText>
      </w:r>
      <w:r>
        <w:fldChar w:fldCharType="separate"/>
      </w:r>
      <w:r>
        <w:rPr>
          <w:rStyle w:val="33"/>
        </w:rPr>
        <w:t xml:space="preserve">7 </w:t>
      </w:r>
      <w:r>
        <w:rPr>
          <w:rStyle w:val="33"/>
          <w:rFonts w:hint="eastAsia"/>
        </w:rPr>
        <w:t xml:space="preserve"> 技术要求</w:t>
      </w:r>
      <w:r>
        <w:tab/>
      </w:r>
      <w:r>
        <w:fldChar w:fldCharType="begin"/>
      </w:r>
      <w:r>
        <w:instrText xml:space="preserve"> PAGEREF _Toc72162755 \h </w:instrText>
      </w:r>
      <w:r>
        <w:fldChar w:fldCharType="separate"/>
      </w:r>
      <w:r>
        <w:t>7</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"_Toc72162756" </w:instrText>
      </w:r>
      <w:r>
        <w:fldChar w:fldCharType="separate"/>
      </w:r>
      <w:r>
        <w:rPr>
          <w:rStyle w:val="33"/>
        </w:rPr>
        <w:t xml:space="preserve">7.1 </w:t>
      </w:r>
      <w:r>
        <w:rPr>
          <w:rStyle w:val="33"/>
          <w:rFonts w:hint="eastAsia"/>
        </w:rPr>
        <w:t xml:space="preserve"> 数据接口</w:t>
      </w:r>
      <w:r>
        <w:tab/>
      </w:r>
      <w:r>
        <w:fldChar w:fldCharType="begin"/>
      </w:r>
      <w:r>
        <w:instrText xml:space="preserve"> PAGEREF _Toc72162756 \h </w:instrText>
      </w:r>
      <w:r>
        <w:fldChar w:fldCharType="separate"/>
      </w:r>
      <w:r>
        <w:t>7</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"_Toc72162757" </w:instrText>
      </w:r>
      <w:r>
        <w:fldChar w:fldCharType="separate"/>
      </w:r>
      <w:r>
        <w:rPr>
          <w:rStyle w:val="33"/>
        </w:rPr>
        <w:t xml:space="preserve">7.2 </w:t>
      </w:r>
      <w:r>
        <w:rPr>
          <w:rStyle w:val="33"/>
          <w:rFonts w:hint="eastAsia"/>
        </w:rPr>
        <w:t xml:space="preserve"> 安全性要求</w:t>
      </w:r>
      <w:r>
        <w:tab/>
      </w:r>
      <w:r>
        <w:fldChar w:fldCharType="begin"/>
      </w:r>
      <w:r>
        <w:instrText xml:space="preserve"> PAGEREF _Toc72162757 \h </w:instrText>
      </w:r>
      <w:r>
        <w:fldChar w:fldCharType="separate"/>
      </w:r>
      <w:r>
        <w:t>8</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"_Toc72162758" </w:instrText>
      </w:r>
      <w:r>
        <w:fldChar w:fldCharType="separate"/>
      </w:r>
      <w:r>
        <w:rPr>
          <w:rStyle w:val="33"/>
        </w:rPr>
        <w:t xml:space="preserve">7.3 </w:t>
      </w:r>
      <w:r>
        <w:rPr>
          <w:rStyle w:val="33"/>
          <w:rFonts w:hint="eastAsia"/>
        </w:rPr>
        <w:t xml:space="preserve"> 性能要求</w:t>
      </w:r>
      <w:r>
        <w:tab/>
      </w:r>
      <w:r>
        <w:fldChar w:fldCharType="begin"/>
      </w:r>
      <w:r>
        <w:instrText xml:space="preserve"> PAGEREF _Toc72162758 \h </w:instrText>
      </w:r>
      <w:r>
        <w:fldChar w:fldCharType="separate"/>
      </w:r>
      <w:r>
        <w:t>8</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"_Toc72162759" </w:instrText>
      </w:r>
      <w:r>
        <w:fldChar w:fldCharType="separate"/>
      </w:r>
      <w:r>
        <w:rPr>
          <w:rStyle w:val="33"/>
        </w:rPr>
        <w:t xml:space="preserve">8 </w:t>
      </w:r>
      <w:r>
        <w:rPr>
          <w:rStyle w:val="33"/>
          <w:rFonts w:hint="eastAsia"/>
        </w:rPr>
        <w:t xml:space="preserve"> 运行维护</w:t>
      </w:r>
      <w:r>
        <w:tab/>
      </w:r>
      <w:r>
        <w:fldChar w:fldCharType="begin"/>
      </w:r>
      <w:r>
        <w:instrText xml:space="preserve"> PAGEREF _Toc72162759 \h </w:instrText>
      </w:r>
      <w:r>
        <w:fldChar w:fldCharType="separate"/>
      </w:r>
      <w:r>
        <w:t>8</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"_Toc72162760" </w:instrText>
      </w:r>
      <w:r>
        <w:fldChar w:fldCharType="separate"/>
      </w:r>
      <w:r>
        <w:rPr>
          <w:rStyle w:val="33"/>
        </w:rPr>
        <w:t xml:space="preserve">9 </w:t>
      </w:r>
      <w:r>
        <w:rPr>
          <w:rStyle w:val="33"/>
          <w:rFonts w:hint="eastAsia"/>
        </w:rPr>
        <w:t xml:space="preserve"> 工作规范</w:t>
      </w:r>
      <w:r>
        <w:tab/>
      </w:r>
      <w:r>
        <w:fldChar w:fldCharType="begin"/>
      </w:r>
      <w:r>
        <w:instrText xml:space="preserve"> PAGEREF _Toc72162760 \h </w:instrText>
      </w:r>
      <w:r>
        <w:fldChar w:fldCharType="separate"/>
      </w:r>
      <w:r>
        <w:t>8</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"_Toc72162761" </w:instrText>
      </w:r>
      <w:r>
        <w:fldChar w:fldCharType="separate"/>
      </w:r>
      <w:r>
        <w:rPr>
          <w:rStyle w:val="33"/>
        </w:rPr>
        <w:t xml:space="preserve">9.1 </w:t>
      </w:r>
      <w:r>
        <w:rPr>
          <w:rStyle w:val="33"/>
          <w:rFonts w:hint="eastAsia"/>
        </w:rPr>
        <w:t xml:space="preserve"> 基本原则</w:t>
      </w:r>
      <w:r>
        <w:tab/>
      </w:r>
      <w:r>
        <w:fldChar w:fldCharType="begin"/>
      </w:r>
      <w:r>
        <w:instrText xml:space="preserve"> PAGEREF _Toc72162761 \h </w:instrText>
      </w:r>
      <w:r>
        <w:fldChar w:fldCharType="separate"/>
      </w:r>
      <w:r>
        <w:t>8</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"_Toc72162762" </w:instrText>
      </w:r>
      <w:r>
        <w:fldChar w:fldCharType="separate"/>
      </w:r>
      <w:r>
        <w:rPr>
          <w:rStyle w:val="33"/>
        </w:rPr>
        <w:t xml:space="preserve">9.2 </w:t>
      </w:r>
      <w:r>
        <w:rPr>
          <w:rStyle w:val="33"/>
          <w:rFonts w:hint="eastAsia"/>
        </w:rPr>
        <w:t xml:space="preserve"> 组织机构及职责</w:t>
      </w:r>
      <w:r>
        <w:tab/>
      </w:r>
      <w:r>
        <w:fldChar w:fldCharType="begin"/>
      </w:r>
      <w:r>
        <w:instrText xml:space="preserve"> PAGEREF _Toc72162762 \h </w:instrText>
      </w:r>
      <w:r>
        <w:fldChar w:fldCharType="separate"/>
      </w:r>
      <w:r>
        <w:t>8</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"_Toc72162763" </w:instrText>
      </w:r>
      <w:r>
        <w:fldChar w:fldCharType="separate"/>
      </w:r>
      <w:r>
        <w:rPr>
          <w:rStyle w:val="33"/>
        </w:rPr>
        <w:t xml:space="preserve">9.3 </w:t>
      </w:r>
      <w:r>
        <w:rPr>
          <w:rStyle w:val="33"/>
          <w:rFonts w:hint="eastAsia"/>
        </w:rPr>
        <w:t xml:space="preserve"> 制度建设</w:t>
      </w:r>
      <w:r>
        <w:tab/>
      </w:r>
      <w:r>
        <w:fldChar w:fldCharType="begin"/>
      </w:r>
      <w:r>
        <w:instrText xml:space="preserve"> PAGEREF _Toc72162763 \h </w:instrText>
      </w:r>
      <w:r>
        <w:fldChar w:fldCharType="separate"/>
      </w:r>
      <w:r>
        <w:t>8</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"_Toc72162764" </w:instrText>
      </w:r>
      <w:r>
        <w:fldChar w:fldCharType="separate"/>
      </w:r>
      <w:r>
        <w:rPr>
          <w:rStyle w:val="33"/>
        </w:rPr>
        <w:t xml:space="preserve">9.4 </w:t>
      </w:r>
      <w:r>
        <w:rPr>
          <w:rStyle w:val="33"/>
          <w:rFonts w:hint="eastAsia"/>
        </w:rPr>
        <w:t xml:space="preserve"> 救助流程</w:t>
      </w:r>
      <w:r>
        <w:tab/>
      </w:r>
      <w:r>
        <w:fldChar w:fldCharType="begin"/>
      </w:r>
      <w:r>
        <w:instrText xml:space="preserve"> PAGEREF _Toc72162764 \h </w:instrText>
      </w:r>
      <w:r>
        <w:fldChar w:fldCharType="separate"/>
      </w:r>
      <w:r>
        <w:t>9</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"_Toc72162765" </w:instrText>
      </w:r>
      <w:r>
        <w:fldChar w:fldCharType="separate"/>
      </w:r>
      <w:r>
        <w:rPr>
          <w:rStyle w:val="33"/>
        </w:rPr>
        <w:t xml:space="preserve">9.5 </w:t>
      </w:r>
      <w:r>
        <w:rPr>
          <w:rStyle w:val="33"/>
          <w:rFonts w:hint="eastAsia"/>
        </w:rPr>
        <w:t xml:space="preserve"> 监督检查</w:t>
      </w:r>
      <w:r>
        <w:tab/>
      </w:r>
      <w:r>
        <w:fldChar w:fldCharType="begin"/>
      </w:r>
      <w:r>
        <w:instrText xml:space="preserve"> PAGEREF _Toc72162765 \h </w:instrText>
      </w:r>
      <w:r>
        <w:fldChar w:fldCharType="separate"/>
      </w:r>
      <w:r>
        <w:t>10</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"_Toc72162766" </w:instrText>
      </w:r>
      <w:r>
        <w:fldChar w:fldCharType="separate"/>
      </w:r>
      <w:r>
        <w:rPr>
          <w:rStyle w:val="33"/>
          <w:rFonts w:hint="eastAsia"/>
        </w:rPr>
        <w:t>附录A（资料性）</w:t>
      </w:r>
      <w:r>
        <w:rPr>
          <w:rStyle w:val="33"/>
        </w:rPr>
        <w:t xml:space="preserve">  </w:t>
      </w:r>
      <w:r>
        <w:rPr>
          <w:rStyle w:val="33"/>
          <w:rFonts w:hint="eastAsia"/>
        </w:rPr>
        <w:t>数据库建设示例</w:t>
      </w:r>
      <w:r>
        <w:tab/>
      </w:r>
      <w:r>
        <w:fldChar w:fldCharType="begin"/>
      </w:r>
      <w:r>
        <w:instrText xml:space="preserve"> PAGEREF _Toc72162766 \h </w:instrText>
      </w:r>
      <w:r>
        <w:fldChar w:fldCharType="separate"/>
      </w:r>
      <w:r>
        <w:t>11</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"_Toc72162767" </w:instrText>
      </w:r>
      <w:r>
        <w:fldChar w:fldCharType="separate"/>
      </w:r>
      <w:r>
        <w:rPr>
          <w:rStyle w:val="33"/>
        </w:rPr>
        <w:t xml:space="preserve">A.1 </w:t>
      </w:r>
      <w:r>
        <w:rPr>
          <w:rStyle w:val="33"/>
          <w:rFonts w:hint="eastAsia"/>
        </w:rPr>
        <w:t xml:space="preserve"> 数据库架构</w:t>
      </w:r>
      <w:r>
        <w:tab/>
      </w:r>
      <w:r>
        <w:fldChar w:fldCharType="begin"/>
      </w:r>
      <w:r>
        <w:instrText xml:space="preserve"> PAGEREF _Toc72162767 \h </w:instrText>
      </w:r>
      <w:r>
        <w:fldChar w:fldCharType="separate"/>
      </w:r>
      <w:r>
        <w:t>11</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"_Toc72162768" </w:instrText>
      </w:r>
      <w:r>
        <w:fldChar w:fldCharType="separate"/>
      </w:r>
      <w:r>
        <w:rPr>
          <w:rStyle w:val="33"/>
        </w:rPr>
        <w:t xml:space="preserve">A.2 </w:t>
      </w:r>
      <w:r>
        <w:rPr>
          <w:rStyle w:val="33"/>
          <w:rFonts w:hint="eastAsia"/>
        </w:rPr>
        <w:t xml:space="preserve"> 基础信息数据库</w:t>
      </w:r>
      <w:r>
        <w:tab/>
      </w:r>
      <w:r>
        <w:fldChar w:fldCharType="begin"/>
      </w:r>
      <w:r>
        <w:instrText xml:space="preserve"> PAGEREF _Toc72162768 \h </w:instrText>
      </w:r>
      <w:r>
        <w:fldChar w:fldCharType="separate"/>
      </w:r>
      <w:r>
        <w:t>11</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"_Toc72162769" </w:instrText>
      </w:r>
      <w:r>
        <w:fldChar w:fldCharType="separate"/>
      </w:r>
      <w:r>
        <w:rPr>
          <w:rStyle w:val="33"/>
          <w:kern w:val="0"/>
        </w:rPr>
        <w:t xml:space="preserve">A.3 </w:t>
      </w:r>
      <w:r>
        <w:rPr>
          <w:rStyle w:val="33"/>
          <w:rFonts w:hint="eastAsia"/>
          <w:kern w:val="0"/>
        </w:rPr>
        <w:t xml:space="preserve"> 数据交换信息库</w:t>
      </w:r>
      <w:r>
        <w:tab/>
      </w:r>
      <w:r>
        <w:fldChar w:fldCharType="begin"/>
      </w:r>
      <w:r>
        <w:instrText xml:space="preserve"> PAGEREF _Toc72162769 \h </w:instrText>
      </w:r>
      <w:r>
        <w:fldChar w:fldCharType="separate"/>
      </w:r>
      <w:r>
        <w:t>11</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"_Toc72162770" </w:instrText>
      </w:r>
      <w:r>
        <w:fldChar w:fldCharType="separate"/>
      </w:r>
      <w:r>
        <w:rPr>
          <w:rStyle w:val="33"/>
          <w:kern w:val="0"/>
        </w:rPr>
        <w:t xml:space="preserve">A.4 </w:t>
      </w:r>
      <w:r>
        <w:rPr>
          <w:rStyle w:val="33"/>
          <w:rFonts w:hint="eastAsia"/>
          <w:kern w:val="0"/>
        </w:rPr>
        <w:t xml:space="preserve"> 业务生产数据库</w:t>
      </w:r>
      <w:r>
        <w:tab/>
      </w:r>
      <w:r>
        <w:fldChar w:fldCharType="begin"/>
      </w:r>
      <w:r>
        <w:instrText xml:space="preserve"> PAGEREF _Toc72162770 \h </w:instrText>
      </w:r>
      <w:r>
        <w:fldChar w:fldCharType="separate"/>
      </w:r>
      <w:r>
        <w:t>11</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"_Toc72162771" </w:instrText>
      </w:r>
      <w:r>
        <w:fldChar w:fldCharType="separate"/>
      </w:r>
      <w:r>
        <w:rPr>
          <w:rStyle w:val="33"/>
        </w:rPr>
        <w:t xml:space="preserve">A.5 </w:t>
      </w:r>
      <w:r>
        <w:rPr>
          <w:rStyle w:val="33"/>
          <w:rFonts w:hint="eastAsia"/>
        </w:rPr>
        <w:t xml:space="preserve"> 信息资源分析库</w:t>
      </w:r>
      <w:r>
        <w:tab/>
      </w:r>
      <w:r>
        <w:fldChar w:fldCharType="begin"/>
      </w:r>
      <w:r>
        <w:instrText xml:space="preserve"> PAGEREF _Toc72162771 \h </w:instrText>
      </w:r>
      <w:r>
        <w:fldChar w:fldCharType="separate"/>
      </w:r>
      <w:r>
        <w:t>12</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"_Toc72162772" </w:instrText>
      </w:r>
      <w:r>
        <w:fldChar w:fldCharType="separate"/>
      </w:r>
      <w:r>
        <w:rPr>
          <w:rStyle w:val="33"/>
          <w:rFonts w:hint="eastAsia"/>
        </w:rPr>
        <w:t>附录B（资料性）</w:t>
      </w:r>
      <w:r>
        <w:rPr>
          <w:rStyle w:val="33"/>
        </w:rPr>
        <w:t xml:space="preserve">  </w:t>
      </w:r>
      <w:r>
        <w:rPr>
          <w:rStyle w:val="33"/>
          <w:rFonts w:hint="eastAsia"/>
        </w:rPr>
        <w:t>平台功能明细表示例</w:t>
      </w:r>
      <w:r>
        <w:tab/>
      </w:r>
      <w:r>
        <w:fldChar w:fldCharType="begin"/>
      </w:r>
      <w:r>
        <w:instrText xml:space="preserve"> PAGEREF _Toc72162772 \h </w:instrText>
      </w:r>
      <w:r>
        <w:fldChar w:fldCharType="separate"/>
      </w:r>
      <w:r>
        <w:t>13</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"_Toc72162773" </w:instrText>
      </w:r>
      <w:r>
        <w:fldChar w:fldCharType="separate"/>
      </w:r>
      <w:r>
        <w:rPr>
          <w:rStyle w:val="33"/>
          <w:rFonts w:hint="eastAsia"/>
        </w:rPr>
        <w:t>附录C（资料性）</w:t>
      </w:r>
      <w:r>
        <w:rPr>
          <w:rStyle w:val="33"/>
        </w:rPr>
        <w:t xml:space="preserve">  </w:t>
      </w:r>
      <w:r>
        <w:rPr>
          <w:rStyle w:val="33"/>
          <w:rFonts w:hint="eastAsia"/>
        </w:rPr>
        <w:t>制度建设示例</w:t>
      </w:r>
      <w:r>
        <w:tab/>
      </w:r>
      <w:r>
        <w:fldChar w:fldCharType="begin"/>
      </w:r>
      <w:r>
        <w:instrText xml:space="preserve"> PAGEREF _Toc72162773 \h </w:instrText>
      </w:r>
      <w:r>
        <w:fldChar w:fldCharType="separate"/>
      </w:r>
      <w:r>
        <w:t>14</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"_Toc72162774" </w:instrText>
      </w:r>
      <w:r>
        <w:fldChar w:fldCharType="separate"/>
      </w:r>
      <w:r>
        <w:rPr>
          <w:rStyle w:val="33"/>
        </w:rPr>
        <w:t xml:space="preserve">C.1 </w:t>
      </w:r>
      <w:r>
        <w:rPr>
          <w:rStyle w:val="33"/>
          <w:rFonts w:hint="eastAsia"/>
        </w:rPr>
        <w:t xml:space="preserve"> 联席会议制度建设</w:t>
      </w:r>
      <w:r>
        <w:tab/>
      </w:r>
      <w:r>
        <w:fldChar w:fldCharType="begin"/>
      </w:r>
      <w:r>
        <w:instrText xml:space="preserve"> PAGEREF _Toc72162774 \h </w:instrText>
      </w:r>
      <w:r>
        <w:fldChar w:fldCharType="separate"/>
      </w:r>
      <w:r>
        <w:t>14</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"_Toc72162775" </w:instrText>
      </w:r>
      <w:r>
        <w:fldChar w:fldCharType="separate"/>
      </w:r>
      <w:r>
        <w:rPr>
          <w:rStyle w:val="33"/>
        </w:rPr>
        <w:t xml:space="preserve">C.2 </w:t>
      </w:r>
      <w:r>
        <w:rPr>
          <w:rStyle w:val="33"/>
          <w:rFonts w:hint="eastAsia"/>
        </w:rPr>
        <w:t xml:space="preserve"> 信息公开制度建设</w:t>
      </w:r>
      <w:r>
        <w:tab/>
      </w:r>
      <w:r>
        <w:fldChar w:fldCharType="begin"/>
      </w:r>
      <w:r>
        <w:instrText xml:space="preserve"> PAGEREF _Toc72162775 \h </w:instrText>
      </w:r>
      <w:r>
        <w:fldChar w:fldCharType="separate"/>
      </w:r>
      <w:r>
        <w:t>14</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"_Toc72162776" </w:instrText>
      </w:r>
      <w:r>
        <w:fldChar w:fldCharType="separate"/>
      </w:r>
      <w:r>
        <w:rPr>
          <w:rStyle w:val="33"/>
        </w:rPr>
        <w:t xml:space="preserve">C.3 </w:t>
      </w:r>
      <w:r>
        <w:rPr>
          <w:rStyle w:val="33"/>
          <w:rFonts w:hint="eastAsia"/>
        </w:rPr>
        <w:t xml:space="preserve"> 资金监管制度建设</w:t>
      </w:r>
      <w:r>
        <w:tab/>
      </w:r>
      <w:r>
        <w:fldChar w:fldCharType="begin"/>
      </w:r>
      <w:r>
        <w:instrText xml:space="preserve"> PAGEREF _Toc72162776 \h </w:instrText>
      </w:r>
      <w:r>
        <w:fldChar w:fldCharType="separate"/>
      </w:r>
      <w:r>
        <w:t>14</w:t>
      </w:r>
      <w:r>
        <w:fldChar w:fldCharType="end"/>
      </w:r>
      <w:r>
        <w:fldChar w:fldCharType="end"/>
      </w:r>
    </w:p>
    <w:p>
      <w:pPr>
        <w:pStyle w:val="92"/>
        <w:spacing w:after="468"/>
        <w:sectPr>
          <w:headerReference r:id="rId9" w:type="default"/>
          <w:footerReference r:id="rId11" w:type="default"/>
          <w:headerReference r:id="rId10" w:type="even"/>
          <w:footerReference r:id="rId12" w:type="even"/>
          <w:pgSz w:w="11906" w:h="16838"/>
          <w:pgMar w:top="1871" w:right="1134" w:bottom="1134" w:left="1134" w:header="1418" w:footer="1134" w:gutter="284"/>
          <w:pgNumType w:fmt="upperRoman" w:start="1"/>
          <w:cols w:space="425" w:num="1"/>
          <w:formProt w:val="0"/>
          <w:docGrid w:type="lines" w:linePitch="312" w:charSpace="0"/>
        </w:sectPr>
      </w:pPr>
      <w:r>
        <w:fldChar w:fldCharType="end"/>
      </w:r>
    </w:p>
    <w:bookmarkEnd w:id="17"/>
    <w:p>
      <w:pPr>
        <w:pStyle w:val="90"/>
        <w:spacing w:after="468"/>
      </w:pPr>
      <w:bookmarkStart w:id="29" w:name="_Toc72162741"/>
      <w:bookmarkStart w:id="30" w:name="BookMark2"/>
      <w:r>
        <w:rPr>
          <w:spacing w:val="320"/>
        </w:rPr>
        <w:t>前</w:t>
      </w:r>
      <w:r>
        <w:t>言</w:t>
      </w:r>
      <w:bookmarkEnd w:id="18"/>
      <w:bookmarkEnd w:id="19"/>
      <w:bookmarkEnd w:id="20"/>
      <w:bookmarkEnd w:id="21"/>
      <w:bookmarkEnd w:id="22"/>
      <w:bookmarkEnd w:id="23"/>
      <w:bookmarkEnd w:id="24"/>
      <w:bookmarkEnd w:id="25"/>
      <w:bookmarkEnd w:id="26"/>
      <w:bookmarkEnd w:id="27"/>
      <w:bookmarkEnd w:id="28"/>
      <w:bookmarkEnd w:id="29"/>
    </w:p>
    <w:p>
      <w:pPr>
        <w:pStyle w:val="57"/>
        <w:ind w:firstLine="420"/>
      </w:pPr>
      <w:r>
        <w:rPr>
          <w:rFonts w:hint="eastAsia"/>
        </w:rPr>
        <w:t>本文件按照GB/T 1.1—2020《标准化工作导则  第1部分：标准化文件的结构和起草规则》的规定起草。</w:t>
      </w:r>
    </w:p>
    <w:p>
      <w:pPr>
        <w:pStyle w:val="57"/>
        <w:ind w:firstLine="420"/>
      </w:pPr>
    </w:p>
    <w:p>
      <w:pPr>
        <w:pStyle w:val="57"/>
        <w:ind w:firstLine="420"/>
      </w:pPr>
    </w:p>
    <w:p>
      <w:pPr>
        <w:pStyle w:val="57"/>
        <w:ind w:firstLine="420"/>
      </w:pPr>
    </w:p>
    <w:p>
      <w:pPr>
        <w:pStyle w:val="57"/>
        <w:ind w:firstLine="420"/>
      </w:pPr>
      <w:r>
        <w:rPr>
          <w:rFonts w:hint="eastAsia"/>
        </w:rPr>
        <w:t>本文件由××××提出。</w:t>
      </w:r>
    </w:p>
    <w:p>
      <w:pPr>
        <w:pStyle w:val="57"/>
        <w:ind w:firstLine="420"/>
      </w:pPr>
      <w:r>
        <w:rPr>
          <w:rFonts w:hint="eastAsia"/>
        </w:rPr>
        <w:t>本文件由××××归口。</w:t>
      </w:r>
    </w:p>
    <w:p>
      <w:pPr>
        <w:pStyle w:val="57"/>
        <w:ind w:firstLine="420"/>
      </w:pPr>
      <w:r>
        <w:rPr>
          <w:rFonts w:hint="eastAsia"/>
        </w:rPr>
        <w:t>本文件起草单位：</w:t>
      </w:r>
    </w:p>
    <w:p>
      <w:pPr>
        <w:pStyle w:val="57"/>
        <w:ind w:firstLine="420"/>
      </w:pPr>
      <w:r>
        <w:rPr>
          <w:rFonts w:hint="eastAsia"/>
        </w:rPr>
        <w:t>本文件主要起草人：</w:t>
      </w:r>
    </w:p>
    <w:p>
      <w:pPr>
        <w:pStyle w:val="57"/>
        <w:ind w:firstLine="420"/>
      </w:pPr>
    </w:p>
    <w:p>
      <w:pPr>
        <w:pStyle w:val="57"/>
        <w:ind w:firstLine="420"/>
        <w:sectPr>
          <w:pgSz w:w="11906" w:h="16838"/>
          <w:pgMar w:top="1871" w:right="1134" w:bottom="1134" w:left="1134" w:header="1418" w:footer="1134" w:gutter="284"/>
          <w:pgNumType w:fmt="upperRoman"/>
          <w:cols w:space="425" w:num="1"/>
          <w:formProt w:val="0"/>
          <w:docGrid w:type="lines" w:linePitch="312" w:charSpace="0"/>
        </w:sectPr>
      </w:pPr>
    </w:p>
    <w:bookmarkEnd w:id="30"/>
    <w:p>
      <w:pPr>
        <w:spacing w:line="20" w:lineRule="exact"/>
        <w:jc w:val="center"/>
        <w:rPr>
          <w:rFonts w:ascii="黑体" w:hAnsi="黑体" w:eastAsia="黑体"/>
          <w:sz w:val="32"/>
          <w:szCs w:val="32"/>
        </w:rPr>
      </w:pPr>
      <w:bookmarkStart w:id="31" w:name="BookMark4"/>
    </w:p>
    <w:p>
      <w:pPr>
        <w:spacing w:line="20" w:lineRule="exact"/>
        <w:jc w:val="center"/>
        <w:rPr>
          <w:rFonts w:ascii="黑体" w:hAnsi="黑体" w:eastAsia="黑体"/>
          <w:sz w:val="32"/>
          <w:szCs w:val="32"/>
        </w:rPr>
      </w:pPr>
    </w:p>
    <w:sdt>
      <w:sdtPr>
        <w:tag w:val="NEW_STAND_NAME"/>
        <w:id w:val="595910757"/>
        <w:lock w:val="sdtLocked"/>
        <w:placeholder>
          <w:docPart w:val="91C70F7FDD584A5E8C6D72777642B469"/>
        </w:placeholder>
      </w:sdtPr>
      <w:sdtContent>
        <w:p>
          <w:pPr>
            <w:pStyle w:val="178"/>
            <w:spacing w:beforeLines="182" w:afterLines="220"/>
          </w:pPr>
          <w:bookmarkStart w:id="32" w:name="NEW_STAND_NAME"/>
          <w:r>
            <w:rPr>
              <w:rFonts w:hint="eastAsia"/>
            </w:rPr>
            <w:t>社会救助综合服务平台建设规范</w:t>
          </w:r>
        </w:p>
      </w:sdtContent>
    </w:sdt>
    <w:bookmarkEnd w:id="32"/>
    <w:p>
      <w:pPr>
        <w:pStyle w:val="105"/>
        <w:spacing w:before="312" w:after="312"/>
      </w:pPr>
      <w:bookmarkStart w:id="33" w:name="_Toc71293576"/>
      <w:bookmarkStart w:id="34" w:name="_Toc71210038"/>
      <w:bookmarkStart w:id="35" w:name="_Toc26648465"/>
      <w:bookmarkStart w:id="36" w:name="_Toc70672105"/>
      <w:bookmarkStart w:id="37" w:name="_Toc24884211"/>
      <w:bookmarkStart w:id="38" w:name="_Toc26986771"/>
      <w:bookmarkStart w:id="39" w:name="_Toc70672070"/>
      <w:bookmarkStart w:id="40" w:name="_Toc71212484"/>
      <w:bookmarkStart w:id="41" w:name="_Toc69203899"/>
      <w:bookmarkStart w:id="42" w:name="_Toc24884218"/>
      <w:bookmarkStart w:id="43" w:name="_Toc17233333"/>
      <w:bookmarkStart w:id="44" w:name="_Toc68253931"/>
      <w:bookmarkStart w:id="45" w:name="_Toc68793314"/>
      <w:bookmarkStart w:id="46" w:name="_Toc58571000"/>
      <w:bookmarkStart w:id="47" w:name="_Toc17233325"/>
      <w:bookmarkStart w:id="48" w:name="_Toc67928330"/>
      <w:bookmarkStart w:id="49" w:name="_Toc26986530"/>
      <w:bookmarkStart w:id="50" w:name="_Toc26718930"/>
      <w:bookmarkStart w:id="51" w:name="_Toc58571480"/>
      <w:bookmarkStart w:id="52" w:name="_Toc67927622"/>
      <w:bookmarkStart w:id="53" w:name="_Toc70672474"/>
      <w:bookmarkStart w:id="54" w:name="_Toc72162742"/>
      <w:r>
        <w:rPr>
          <w:rFonts w:hint="eastAsia"/>
        </w:rPr>
        <w:t>范围</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widowControl/>
        <w:autoSpaceDE w:val="0"/>
        <w:autoSpaceDN w:val="0"/>
        <w:adjustRightInd/>
        <w:spacing w:line="240" w:lineRule="auto"/>
        <w:ind w:firstLine="420" w:firstLineChars="200"/>
        <w:rPr>
          <w:rFonts w:ascii="宋体" w:hAnsi="Times New Roman"/>
          <w:kern w:val="0"/>
          <w:szCs w:val="20"/>
        </w:rPr>
      </w:pPr>
      <w:bookmarkStart w:id="55" w:name="_Toc24884219"/>
      <w:bookmarkStart w:id="56" w:name="_Toc17233326"/>
      <w:bookmarkStart w:id="57" w:name="_Toc67927623"/>
      <w:bookmarkStart w:id="58" w:name="_Toc17233334"/>
      <w:bookmarkStart w:id="59" w:name="_Toc58571001"/>
      <w:bookmarkStart w:id="60" w:name="_Toc68253932"/>
      <w:bookmarkStart w:id="61" w:name="_Toc68793315"/>
      <w:bookmarkStart w:id="62" w:name="_Toc26718931"/>
      <w:bookmarkStart w:id="63" w:name="_Toc67928331"/>
      <w:bookmarkStart w:id="64" w:name="_Toc26648466"/>
      <w:bookmarkStart w:id="65" w:name="_Toc24884212"/>
      <w:bookmarkStart w:id="66" w:name="_Toc26986772"/>
      <w:bookmarkStart w:id="67" w:name="_Toc58571481"/>
      <w:bookmarkStart w:id="68" w:name="_Toc26986531"/>
      <w:r>
        <w:rPr>
          <w:rFonts w:hint="eastAsia" w:ascii="宋体" w:hAnsi="Times New Roman"/>
          <w:kern w:val="0"/>
          <w:szCs w:val="20"/>
        </w:rPr>
        <w:t>本文件规定了社会救助综合服务平台的建设原则、平台架构、功能要求、技术要求、运行维护要求及工作规范等内容。</w:t>
      </w:r>
    </w:p>
    <w:p>
      <w:pPr>
        <w:widowControl/>
        <w:autoSpaceDE w:val="0"/>
        <w:autoSpaceDN w:val="0"/>
        <w:adjustRightInd/>
        <w:spacing w:line="240" w:lineRule="auto"/>
        <w:ind w:firstLine="420" w:firstLineChars="200"/>
        <w:rPr>
          <w:rFonts w:ascii="宋体" w:hAnsi="Times New Roman"/>
          <w:kern w:val="0"/>
          <w:szCs w:val="20"/>
        </w:rPr>
      </w:pPr>
      <w:r>
        <w:rPr>
          <w:rFonts w:hint="eastAsia" w:ascii="宋体" w:hAnsi="Times New Roman"/>
          <w:kern w:val="0"/>
          <w:szCs w:val="20"/>
        </w:rPr>
        <w:t>本文件适用于政府及其工作部门、法律法规授权的具有社会救助事项职能的组织，参照实施社会救助综合服务平台的建设。</w:t>
      </w:r>
    </w:p>
    <w:p>
      <w:pPr>
        <w:pStyle w:val="105"/>
        <w:spacing w:before="312" w:after="312"/>
      </w:pPr>
      <w:bookmarkStart w:id="69" w:name="_Toc71212485"/>
      <w:bookmarkStart w:id="70" w:name="_Toc70672106"/>
      <w:bookmarkStart w:id="71" w:name="_Toc70672475"/>
      <w:bookmarkStart w:id="72" w:name="_Toc71293577"/>
      <w:bookmarkStart w:id="73" w:name="_Toc71210039"/>
      <w:bookmarkStart w:id="74" w:name="_Toc69203900"/>
      <w:bookmarkStart w:id="75" w:name="_Toc70672071"/>
      <w:bookmarkStart w:id="76" w:name="_Toc72162743"/>
      <w:r>
        <w:rPr>
          <w:rFonts w:hint="eastAsia"/>
        </w:rPr>
        <w:t>规范性引用文件</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sdt>
      <w:sdtPr>
        <w:rPr>
          <w:rFonts w:hint="eastAsia"/>
        </w:rPr>
        <w:id w:val="715848253"/>
        <w:placeholder>
          <w:docPart w:val="47A316D958934991AE887646B38DFB11"/>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7"/>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widowControl/>
        <w:autoSpaceDE w:val="0"/>
        <w:autoSpaceDN w:val="0"/>
        <w:adjustRightInd/>
        <w:spacing w:line="240" w:lineRule="auto"/>
        <w:ind w:firstLine="420" w:firstLineChars="200"/>
        <w:rPr>
          <w:rFonts w:ascii="宋体" w:hAnsi="Times New Roman"/>
          <w:kern w:val="0"/>
          <w:szCs w:val="20"/>
        </w:rPr>
      </w:pPr>
      <w:bookmarkStart w:id="77" w:name="_Toc67927624"/>
      <w:bookmarkStart w:id="78" w:name="_Toc67928332"/>
      <w:bookmarkStart w:id="79" w:name="_Toc58571482"/>
      <w:bookmarkStart w:id="80" w:name="_Toc68793316"/>
      <w:bookmarkStart w:id="81" w:name="_Toc68253933"/>
      <w:bookmarkStart w:id="82" w:name="_Toc58571002"/>
      <w:r>
        <w:rPr>
          <w:rFonts w:ascii="宋体" w:hAnsi="Times New Roman"/>
          <w:kern w:val="0"/>
          <w:szCs w:val="20"/>
        </w:rPr>
        <w:t>G</w:t>
      </w:r>
      <w:r>
        <w:rPr>
          <w:rFonts w:ascii="宋体" w:hAnsi="Times New Roman"/>
          <w:color w:val="000000" w:themeColor="text1"/>
          <w:kern w:val="0"/>
          <w:szCs w:val="20"/>
        </w:rPr>
        <w:t>B/T 22239</w:t>
      </w:r>
      <w:r>
        <w:rPr>
          <w:rFonts w:hint="eastAsia" w:ascii="宋体" w:hAnsi="Times New Roman"/>
          <w:color w:val="000000" w:themeColor="text1"/>
          <w:kern w:val="0"/>
          <w:szCs w:val="20"/>
        </w:rPr>
        <w:t xml:space="preserve"> </w:t>
      </w:r>
      <w:r>
        <w:rPr>
          <w:rFonts w:hint="eastAsia" w:ascii="宋体" w:hAnsi="Times New Roman"/>
          <w:kern w:val="0"/>
          <w:szCs w:val="20"/>
        </w:rPr>
        <w:t>信息安全技术 信息系统安全等级保护基本要求</w:t>
      </w:r>
    </w:p>
    <w:p>
      <w:pPr>
        <w:widowControl/>
        <w:autoSpaceDE w:val="0"/>
        <w:autoSpaceDN w:val="0"/>
        <w:adjustRightInd/>
        <w:spacing w:line="240" w:lineRule="auto"/>
        <w:ind w:firstLine="420" w:firstLineChars="200"/>
        <w:rPr>
          <w:rFonts w:ascii="宋体" w:hAnsi="Times New Roman"/>
          <w:kern w:val="0"/>
          <w:szCs w:val="20"/>
        </w:rPr>
      </w:pPr>
      <w:r>
        <w:rPr>
          <w:rFonts w:ascii="宋体" w:hAnsi="Times New Roman"/>
          <w:kern w:val="0"/>
          <w:szCs w:val="20"/>
        </w:rPr>
        <w:t>GB/T 28827.1</w:t>
      </w:r>
      <w:r>
        <w:rPr>
          <w:rFonts w:hint="eastAsia" w:ascii="宋体" w:hAnsi="Times New Roman"/>
          <w:kern w:val="0"/>
          <w:szCs w:val="20"/>
        </w:rPr>
        <w:t xml:space="preserve"> 信息技术服务 运行维护 第1部分：通用要求</w:t>
      </w:r>
    </w:p>
    <w:p>
      <w:pPr>
        <w:widowControl/>
        <w:autoSpaceDE w:val="0"/>
        <w:autoSpaceDN w:val="0"/>
        <w:adjustRightInd/>
        <w:spacing w:line="240" w:lineRule="auto"/>
        <w:ind w:firstLine="420" w:firstLineChars="200"/>
        <w:rPr>
          <w:rFonts w:ascii="宋体" w:hAnsi="Times New Roman"/>
          <w:kern w:val="0"/>
          <w:szCs w:val="20"/>
        </w:rPr>
      </w:pPr>
      <w:r>
        <w:rPr>
          <w:rFonts w:hint="eastAsia" w:ascii="宋体" w:hAnsi="Times New Roman"/>
          <w:kern w:val="0"/>
          <w:szCs w:val="20"/>
        </w:rPr>
        <w:t>GB/T 28827.2 信息技术服务 运行维护 第2部分：交付规范</w:t>
      </w:r>
    </w:p>
    <w:p>
      <w:pPr>
        <w:widowControl/>
        <w:autoSpaceDE w:val="0"/>
        <w:autoSpaceDN w:val="0"/>
        <w:adjustRightInd/>
        <w:spacing w:line="240" w:lineRule="auto"/>
        <w:ind w:firstLine="420" w:firstLineChars="200"/>
        <w:rPr>
          <w:rFonts w:ascii="宋体" w:hAnsi="Times New Roman"/>
          <w:kern w:val="0"/>
          <w:szCs w:val="20"/>
        </w:rPr>
      </w:pPr>
      <w:r>
        <w:rPr>
          <w:rFonts w:hint="eastAsia" w:ascii="宋体" w:hAnsi="Times New Roman"/>
          <w:kern w:val="0"/>
          <w:szCs w:val="20"/>
        </w:rPr>
        <w:t>GB/T 28827.3 信息技术服务 运行维护 第3部分：应急响应规范</w:t>
      </w:r>
    </w:p>
    <w:p>
      <w:pPr>
        <w:pStyle w:val="105"/>
        <w:spacing w:before="312" w:after="312"/>
      </w:pPr>
      <w:bookmarkStart w:id="83" w:name="_Toc71212486"/>
      <w:bookmarkStart w:id="84" w:name="_Toc71210040"/>
      <w:bookmarkStart w:id="85" w:name="_Toc70672476"/>
      <w:bookmarkStart w:id="86" w:name="_Toc70672072"/>
      <w:bookmarkStart w:id="87" w:name="_Toc69203901"/>
      <w:bookmarkStart w:id="88" w:name="_Toc71293578"/>
      <w:bookmarkStart w:id="89" w:name="_Toc70672107"/>
      <w:bookmarkStart w:id="90" w:name="_Toc72162744"/>
      <w:r>
        <w:rPr>
          <w:rFonts w:hint="eastAsia"/>
          <w:szCs w:val="21"/>
        </w:rPr>
        <w:t>术语和定义</w:t>
      </w:r>
      <w:bookmarkEnd w:id="77"/>
      <w:bookmarkEnd w:id="78"/>
      <w:bookmarkEnd w:id="79"/>
      <w:bookmarkEnd w:id="80"/>
      <w:bookmarkEnd w:id="81"/>
      <w:bookmarkEnd w:id="82"/>
      <w:bookmarkEnd w:id="83"/>
      <w:bookmarkEnd w:id="84"/>
      <w:bookmarkEnd w:id="85"/>
      <w:bookmarkEnd w:id="86"/>
      <w:bookmarkEnd w:id="87"/>
      <w:bookmarkEnd w:id="88"/>
      <w:bookmarkEnd w:id="89"/>
      <w:bookmarkEnd w:id="90"/>
    </w:p>
    <w:sdt>
      <w:sdtPr>
        <w:id w:val="-1909835108"/>
        <w:placeholder>
          <w:docPart w:val="7B0DCE7465D64AA3841041A7D2BEFB63"/>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7"/>
            <w:ind w:firstLine="420"/>
          </w:pPr>
          <w:bookmarkStart w:id="91" w:name="_Toc26986532"/>
          <w:bookmarkEnd w:id="91"/>
          <w:r>
            <w:t>本文件没有需要界定的术语和定义。</w:t>
          </w:r>
        </w:p>
      </w:sdtContent>
    </w:sdt>
    <w:p>
      <w:pPr>
        <w:pStyle w:val="105"/>
        <w:spacing w:before="312" w:after="312"/>
      </w:pPr>
      <w:bookmarkStart w:id="92" w:name="_Toc58571483"/>
      <w:bookmarkStart w:id="93" w:name="_Toc67927626"/>
      <w:bookmarkStart w:id="94" w:name="_Toc68253935"/>
      <w:bookmarkStart w:id="95" w:name="_Toc58571006"/>
      <w:bookmarkStart w:id="96" w:name="_Toc67928334"/>
      <w:bookmarkStart w:id="97" w:name="_Toc68793317"/>
      <w:bookmarkStart w:id="98" w:name="_Toc72162745"/>
      <w:bookmarkStart w:id="99" w:name="_Toc71293579"/>
      <w:bookmarkStart w:id="100" w:name="_Toc70672073"/>
      <w:bookmarkStart w:id="101" w:name="_Toc70672477"/>
      <w:bookmarkStart w:id="102" w:name="_Toc71212487"/>
      <w:bookmarkStart w:id="103" w:name="_Toc70672108"/>
      <w:bookmarkStart w:id="104" w:name="_Toc71210041"/>
      <w:bookmarkStart w:id="105" w:name="_Toc69203902"/>
      <w:r>
        <w:rPr>
          <w:rFonts w:hint="eastAsia"/>
        </w:rPr>
        <w:t>建设</w:t>
      </w:r>
      <w:bookmarkEnd w:id="92"/>
      <w:bookmarkEnd w:id="93"/>
      <w:bookmarkEnd w:id="94"/>
      <w:bookmarkEnd w:id="95"/>
      <w:bookmarkEnd w:id="96"/>
      <w:r>
        <w:rPr>
          <w:rFonts w:hint="eastAsia"/>
        </w:rPr>
        <w:t>原则</w:t>
      </w:r>
      <w:bookmarkEnd w:id="97"/>
      <w:bookmarkEnd w:id="98"/>
      <w:bookmarkEnd w:id="99"/>
      <w:bookmarkEnd w:id="100"/>
      <w:bookmarkEnd w:id="101"/>
      <w:bookmarkEnd w:id="102"/>
      <w:bookmarkEnd w:id="103"/>
      <w:bookmarkEnd w:id="104"/>
      <w:bookmarkEnd w:id="105"/>
    </w:p>
    <w:p>
      <w:pPr>
        <w:widowControl/>
        <w:autoSpaceDE w:val="0"/>
        <w:autoSpaceDN w:val="0"/>
        <w:adjustRightInd/>
        <w:spacing w:line="240" w:lineRule="auto"/>
        <w:ind w:firstLine="420" w:firstLineChars="200"/>
        <w:rPr>
          <w:rFonts w:ascii="宋体" w:hAnsi="Times New Roman"/>
          <w:kern w:val="0"/>
          <w:szCs w:val="20"/>
        </w:rPr>
      </w:pPr>
      <w:bookmarkStart w:id="106" w:name="_Toc68793318"/>
      <w:r>
        <w:rPr>
          <w:rFonts w:hint="eastAsia" w:ascii="宋体" w:hAnsi="Times New Roman"/>
          <w:kern w:val="0"/>
          <w:szCs w:val="20"/>
        </w:rPr>
        <w:t>本文件主要针对四川省行政区域内各级民政部门社会救助综合服务平台的建设提出要求，总体上应满足以下要求：</w:t>
      </w:r>
    </w:p>
    <w:p>
      <w:pPr>
        <w:pStyle w:val="175"/>
      </w:pPr>
      <w:r>
        <w:rPr>
          <w:rFonts w:hint="eastAsia"/>
        </w:rPr>
        <w:t>统筹性。平台设计应统筹规划，充分考虑与同级各类救助部门的共享性和互联互通性，强化纵横联动和上下级数据交换。</w:t>
      </w:r>
    </w:p>
    <w:p>
      <w:pPr>
        <w:pStyle w:val="175"/>
      </w:pPr>
      <w:r>
        <w:rPr>
          <w:rFonts w:hint="eastAsia"/>
        </w:rPr>
        <w:t>集约性。应发挥本地区已有(涉及社会救助服务)的信息资源作用,全面集成利用现有平台系统设施,减少重复浪费。</w:t>
      </w:r>
    </w:p>
    <w:p>
      <w:pPr>
        <w:pStyle w:val="175"/>
      </w:pPr>
      <w:r>
        <w:rPr>
          <w:rFonts w:hint="eastAsia"/>
        </w:rPr>
        <w:t>兼容性。应提供规范的接口数据，并支持多种数据库环境，能够与原有系统和其他应用系统兼容，运行平台和应用系统应具有升级、拓展能力。</w:t>
      </w:r>
    </w:p>
    <w:p>
      <w:pPr>
        <w:pStyle w:val="175"/>
      </w:pPr>
      <w:r>
        <w:rPr>
          <w:rFonts w:hint="eastAsia"/>
        </w:rPr>
        <w:t>安全性。应将安全可控的理念、要求和措施贯彻落实到运行维护的各个环节，确保平台数据资源和应用系统的安全。</w:t>
      </w:r>
    </w:p>
    <w:p>
      <w:pPr>
        <w:pStyle w:val="175"/>
      </w:pPr>
      <w:r>
        <w:rPr>
          <w:rFonts w:hint="eastAsia"/>
        </w:rPr>
        <w:t>时效性。应以困难群众需求为导向,打通部门间办理环节，建立一体化的救助规范和救助流程，实现各救助事项在平台办理的数据实时互通性。</w:t>
      </w:r>
    </w:p>
    <w:p>
      <w:pPr>
        <w:pStyle w:val="175"/>
      </w:pPr>
      <w:r>
        <w:rPr>
          <w:rFonts w:hint="eastAsia"/>
        </w:rPr>
        <w:t>精准性。应将社会救助与脱贫攻坚有效衔接，通过部门资源共享掌握困难群众准确信息，提出精准救助政策。</w:t>
      </w:r>
    </w:p>
    <w:p>
      <w:pPr>
        <w:pStyle w:val="175"/>
        <w:rPr>
          <w:color w:val="FF0000"/>
        </w:rPr>
      </w:pPr>
      <w:r>
        <w:rPr>
          <w:rFonts w:hint="eastAsia"/>
        </w:rPr>
        <w:t>创新性。应深入挖掘社会救助改革创新模式，注重基层社会治理能力社会救助效能紧密结合，鼓励更多社会力量参与，共同推出具有地区特色的社会救助综合服务内容。</w:t>
      </w:r>
    </w:p>
    <w:p>
      <w:pPr>
        <w:pStyle w:val="105"/>
        <w:spacing w:before="312" w:after="312"/>
      </w:pPr>
      <w:bookmarkStart w:id="107" w:name="_Toc70672109"/>
      <w:bookmarkStart w:id="108" w:name="_Toc71293580"/>
      <w:bookmarkStart w:id="109" w:name="_Toc71212488"/>
      <w:bookmarkStart w:id="110" w:name="_Toc70672478"/>
      <w:bookmarkStart w:id="111" w:name="_Toc70672074"/>
      <w:bookmarkStart w:id="112" w:name="_Toc69203903"/>
      <w:bookmarkStart w:id="113" w:name="_Toc71210042"/>
      <w:bookmarkStart w:id="114" w:name="_Toc72162746"/>
      <w:r>
        <w:rPr>
          <w:rFonts w:hint="eastAsia"/>
        </w:rPr>
        <w:t>平台架构</w:t>
      </w:r>
      <w:bookmarkEnd w:id="106"/>
      <w:bookmarkEnd w:id="107"/>
      <w:bookmarkEnd w:id="108"/>
      <w:bookmarkEnd w:id="109"/>
      <w:bookmarkEnd w:id="110"/>
      <w:bookmarkEnd w:id="111"/>
      <w:bookmarkEnd w:id="112"/>
      <w:bookmarkEnd w:id="113"/>
      <w:bookmarkEnd w:id="114"/>
    </w:p>
    <w:p>
      <w:pPr>
        <w:pStyle w:val="106"/>
        <w:spacing w:before="156" w:after="156"/>
      </w:pPr>
      <w:bookmarkStart w:id="115" w:name="_Toc71212489"/>
      <w:bookmarkStart w:id="116" w:name="_Toc69115547"/>
      <w:bookmarkStart w:id="117" w:name="_Toc71293581"/>
      <w:bookmarkStart w:id="118" w:name="_Toc69115625"/>
      <w:bookmarkStart w:id="119" w:name="_Toc70672075"/>
      <w:bookmarkStart w:id="120" w:name="_Toc70672110"/>
      <w:bookmarkStart w:id="121" w:name="_Toc69115749"/>
      <w:bookmarkStart w:id="122" w:name="_Toc69203904"/>
      <w:bookmarkStart w:id="123" w:name="_Toc71210043"/>
      <w:bookmarkStart w:id="124" w:name="_Toc70672479"/>
      <w:bookmarkStart w:id="125" w:name="_Toc72162747"/>
      <w:r>
        <w:rPr>
          <w:rFonts w:hint="eastAsia"/>
        </w:rPr>
        <w:t>总体要求</w:t>
      </w:r>
      <w:bookmarkEnd w:id="115"/>
      <w:bookmarkEnd w:id="116"/>
      <w:bookmarkEnd w:id="117"/>
      <w:bookmarkEnd w:id="118"/>
      <w:bookmarkEnd w:id="119"/>
      <w:bookmarkEnd w:id="120"/>
      <w:bookmarkEnd w:id="121"/>
      <w:bookmarkEnd w:id="122"/>
      <w:bookmarkEnd w:id="123"/>
      <w:bookmarkEnd w:id="124"/>
      <w:bookmarkEnd w:id="125"/>
    </w:p>
    <w:p>
      <w:pPr>
        <w:widowControl/>
        <w:autoSpaceDE w:val="0"/>
        <w:autoSpaceDN w:val="0"/>
        <w:adjustRightInd/>
        <w:spacing w:line="240" w:lineRule="auto"/>
        <w:ind w:firstLine="420" w:firstLineChars="200"/>
        <w:rPr>
          <w:rFonts w:ascii="宋体" w:hAnsi="Times New Roman"/>
          <w:kern w:val="0"/>
          <w:szCs w:val="20"/>
        </w:rPr>
      </w:pPr>
      <w:r>
        <w:rPr>
          <w:rFonts w:hint="eastAsia" w:ascii="宋体" w:hAnsi="Times New Roman"/>
          <w:kern w:val="0"/>
          <w:szCs w:val="20"/>
        </w:rPr>
        <w:t>社会救助综合平台应由基础设施层、数据资源层、应用支撑层、应用层、交互层、平台运行维护保障体系和平台安全保障体系组成，各级平台建设可根据实际需求自行调整。总体架构宜参考图 1。</w:t>
      </w:r>
    </w:p>
    <w:p>
      <w:pPr>
        <w:widowControl/>
        <w:autoSpaceDE w:val="0"/>
        <w:autoSpaceDN w:val="0"/>
        <w:adjustRightInd/>
        <w:spacing w:line="240" w:lineRule="auto"/>
        <w:ind w:firstLine="420" w:firstLineChars="200"/>
        <w:rPr>
          <w:rFonts w:ascii="宋体" w:hAnsi="Times New Roman"/>
          <w:kern w:val="0"/>
          <w:szCs w:val="20"/>
        </w:rPr>
      </w:pPr>
      <w:r>
        <w:rPr>
          <w:rFonts w:hint="eastAsia" w:ascii="宋体" w:hAnsi="Times New Roman"/>
          <w:kern w:val="0"/>
          <w:szCs w:val="20"/>
        </w:rPr>
        <w:t>基础设施层依托政务服务平台（政务云平台）运行，是体现社会救助综合服务平台技术及其服务作用的重要支撑，所有底层系统应构成一个服务集群运行的基础设施，包括服务器与网络系统、操作系统、安全设备等基本运行环境类软硬件。</w:t>
      </w:r>
    </w:p>
    <w:p>
      <w:pPr>
        <w:widowControl/>
        <w:autoSpaceDE w:val="0"/>
        <w:autoSpaceDN w:val="0"/>
        <w:adjustRightInd/>
        <w:spacing w:line="240" w:lineRule="auto"/>
        <w:ind w:firstLine="420" w:firstLineChars="200"/>
        <w:rPr>
          <w:rFonts w:ascii="宋体" w:hAnsi="Times New Roman"/>
          <w:kern w:val="0"/>
          <w:szCs w:val="20"/>
        </w:rPr>
      </w:pPr>
      <w:r>
        <w:rPr>
          <w:rFonts w:hint="eastAsia" w:ascii="宋体" w:hAnsi="Times New Roman"/>
          <w:kern w:val="0"/>
          <w:szCs w:val="20"/>
        </w:rPr>
        <w:t>数据资源层为上层系统提供核心技术的数据支撑，可在逻辑功能上区分若干个数据库，如基础信息数据库、交换共享数据库、业务生产数据库、信息资源分析库等。数据库作为本系统的核心之一，建设示例详见附录 A。</w:t>
      </w:r>
    </w:p>
    <w:p>
      <w:pPr>
        <w:widowControl/>
        <w:autoSpaceDE w:val="0"/>
        <w:autoSpaceDN w:val="0"/>
        <w:adjustRightInd/>
        <w:spacing w:line="240" w:lineRule="auto"/>
        <w:ind w:firstLine="420" w:firstLineChars="200"/>
        <w:rPr>
          <w:rFonts w:ascii="宋体" w:hAnsi="Times New Roman"/>
          <w:color w:val="FF0000"/>
          <w:kern w:val="0"/>
          <w:szCs w:val="20"/>
        </w:rPr>
      </w:pPr>
      <w:r>
        <w:rPr>
          <w:rFonts w:hint="eastAsia" w:ascii="宋体" w:hAnsi="Times New Roman"/>
          <w:kern w:val="0"/>
          <w:szCs w:val="20"/>
        </w:rPr>
        <w:t>应用支撑层通过建设统一应用支撑平台，封装技术构件和业务构件，实现对上层应用的统一支撑作用、主要包括身份认证系统、权限管理系统，业务流程控制系统、电子签章系统、数据采集发布和统计分析系统等。</w:t>
      </w:r>
    </w:p>
    <w:p>
      <w:pPr>
        <w:widowControl/>
        <w:autoSpaceDE w:val="0"/>
        <w:autoSpaceDN w:val="0"/>
        <w:adjustRightInd/>
        <w:spacing w:line="240" w:lineRule="auto"/>
        <w:ind w:firstLine="420" w:firstLineChars="200"/>
        <w:rPr>
          <w:rFonts w:ascii="宋体" w:hAnsi="Times New Roman"/>
          <w:color w:val="000000" w:themeColor="text1"/>
          <w:kern w:val="0"/>
          <w:szCs w:val="20"/>
        </w:rPr>
      </w:pPr>
      <w:r>
        <w:rPr>
          <w:rFonts w:hint="eastAsia" w:ascii="宋体" w:hAnsi="Times New Roman"/>
          <w:color w:val="000000" w:themeColor="text1"/>
          <w:kern w:val="0"/>
          <w:szCs w:val="20"/>
        </w:rPr>
        <w:t>应用层是基于应用支撑层之上，提供对各项数据资源的具体应用，其核心系统包括但不限于一门受理系统、居民家庭经济状况核对系统、大数据信息资源整合与分析系统，知识库管理系统、档案管理系统及低收入人口动态监测信息系统等，还应根据实际需求扩展其他系统，如电子证照系统、电子监察系统等。各地居民家庭经济状况核对系统应依托四川省居民家庭经济核对信息系统进行建设。</w:t>
      </w:r>
    </w:p>
    <w:p>
      <w:pPr>
        <w:widowControl/>
        <w:autoSpaceDE w:val="0"/>
        <w:autoSpaceDN w:val="0"/>
        <w:adjustRightInd/>
        <w:spacing w:line="240" w:lineRule="auto"/>
        <w:ind w:firstLine="420" w:firstLineChars="200"/>
        <w:rPr>
          <w:rFonts w:ascii="宋体" w:hAnsi="Times New Roman"/>
          <w:kern w:val="0"/>
          <w:szCs w:val="20"/>
        </w:rPr>
      </w:pPr>
      <w:r>
        <w:rPr>
          <w:rFonts w:hint="eastAsia" w:ascii="宋体" w:hAnsi="Times New Roman"/>
          <w:kern w:val="0"/>
          <w:szCs w:val="20"/>
        </w:rPr>
        <w:t>交互层直接面对用户提供多种使用和访问方式，应能对不同类型的用户访问、不同终端等提供支持。其中社会救助管理部门用户主要通过内网访问系统。救助对象用户和社会公众主要通过外网访问公开信息，包括但不限于门户网站、微信公众号/小程序、手机APP等形式；救助对象用户也可以通过服务大厅、服务窗口的自助查询终端移动智能设备对系统进行访问，获取相关的服务内容。</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0" w:hRule="atLeast"/>
        </w:trPr>
        <w:tc>
          <w:tcPr>
            <w:tcW w:w="9570" w:type="dxa"/>
          </w:tcPr>
          <w:p>
            <w:pPr>
              <w:pStyle w:val="57"/>
              <w:ind w:firstLine="0" w:firstLineChars="0"/>
              <w:jc w:val="center"/>
            </w:pPr>
            <w:r>
              <w:object>
                <v:shape id="_x0000_i1025" o:spt="75" type="#_x0000_t75" style="height:243.75pt;width:425.25pt;" o:ole="t" filled="f" o:preferrelative="t" stroked="f" coordsize="21600,21600">
                  <v:path/>
                  <v:fill on="f" focussize="0,0"/>
                  <v:stroke on="f" joinstyle="miter"/>
                  <v:imagedata r:id="rId20" o:title=""/>
                  <o:lock v:ext="edit" aspectratio="t"/>
                  <w10:wrap type="none"/>
                  <w10:anchorlock/>
                </v:shape>
                <o:OLEObject Type="Embed" ProgID="Visio.Drawing.11" ShapeID="_x0000_i1025" DrawAspect="Content" ObjectID="_1468075725" r:id="rId19">
                  <o:LockedField>false</o:LockedField>
                </o:OLEObject>
              </w:object>
            </w:r>
          </w:p>
        </w:tc>
      </w:tr>
    </w:tbl>
    <w:p>
      <w:pPr>
        <w:pStyle w:val="115"/>
        <w:spacing w:before="156" w:after="156"/>
      </w:pPr>
      <w:r>
        <w:rPr>
          <w:rFonts w:hint="eastAsia"/>
        </w:rPr>
        <w:t>社会救助综合服务平台总体架构图</w:t>
      </w:r>
    </w:p>
    <w:p>
      <w:pPr>
        <w:pStyle w:val="106"/>
        <w:spacing w:before="156" w:after="156"/>
      </w:pPr>
      <w:bookmarkStart w:id="126" w:name="_Toc68253937"/>
      <w:bookmarkStart w:id="127" w:name="_Toc71210044"/>
      <w:bookmarkStart w:id="128" w:name="_Toc70672480"/>
      <w:bookmarkStart w:id="129" w:name="_Toc67928336"/>
      <w:bookmarkStart w:id="130" w:name="_Toc70672111"/>
      <w:bookmarkStart w:id="131" w:name="_Toc71212490"/>
      <w:bookmarkStart w:id="132" w:name="_Toc71293582"/>
      <w:bookmarkStart w:id="133" w:name="_Toc69203905"/>
      <w:bookmarkStart w:id="134" w:name="_Toc70672076"/>
      <w:bookmarkStart w:id="135" w:name="_Toc68793319"/>
      <w:bookmarkStart w:id="136" w:name="_Toc58571014"/>
      <w:bookmarkStart w:id="137" w:name="_Toc67927628"/>
      <w:bookmarkStart w:id="138" w:name="_Toc72162748"/>
      <w:r>
        <w:rPr>
          <w:rFonts w:hint="eastAsia"/>
        </w:rPr>
        <w:t>平台安全保障体系</w:t>
      </w:r>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57"/>
        <w:ind w:firstLine="420"/>
      </w:pPr>
      <w:r>
        <w:rPr>
          <w:rFonts w:hint="eastAsia"/>
        </w:rPr>
        <w:t>应贯通系统的各层面，监控系统各层级的运行状态，为系统各层提供全面的安全监控服务，平台应根据</w:t>
      </w:r>
      <w:r>
        <w:rPr>
          <w:rFonts w:hint="eastAsia"/>
          <w:color w:val="000000" w:themeColor="text1"/>
        </w:rPr>
        <w:t xml:space="preserve"> GB/T 22239-2019 </w:t>
      </w:r>
      <w:r>
        <w:rPr>
          <w:rFonts w:hint="eastAsia"/>
        </w:rPr>
        <w:t>要求设定安全等级。</w:t>
      </w:r>
    </w:p>
    <w:p>
      <w:pPr>
        <w:pStyle w:val="106"/>
        <w:spacing w:before="156" w:after="156"/>
      </w:pPr>
      <w:bookmarkStart w:id="139" w:name="_Toc67928337"/>
      <w:bookmarkStart w:id="140" w:name="_Toc67927629"/>
      <w:bookmarkStart w:id="141" w:name="_Toc70672077"/>
      <w:bookmarkStart w:id="142" w:name="_Toc71293583"/>
      <w:bookmarkStart w:id="143" w:name="_Toc58571015"/>
      <w:bookmarkStart w:id="144" w:name="_Toc71212491"/>
      <w:bookmarkStart w:id="145" w:name="_Toc70672481"/>
      <w:bookmarkStart w:id="146" w:name="_Toc69203906"/>
      <w:bookmarkStart w:id="147" w:name="_Toc70672112"/>
      <w:bookmarkStart w:id="148" w:name="_Toc68793320"/>
      <w:bookmarkStart w:id="149" w:name="_Toc68253938"/>
      <w:bookmarkStart w:id="150" w:name="_Toc71210045"/>
      <w:bookmarkStart w:id="151" w:name="_Toc72162749"/>
      <w:r>
        <w:rPr>
          <w:rFonts w:hint="eastAsia"/>
        </w:rPr>
        <w:t>平台运行维护保障体系</w:t>
      </w:r>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57"/>
        <w:ind w:firstLine="420"/>
      </w:pPr>
      <w:r>
        <w:rPr>
          <w:rFonts w:hint="eastAsia"/>
        </w:rPr>
        <w:t>应建立完善的运维管理和服务机制，建立高素质的运维服务团队，运用先进成熟的运维管理技术保障平台稳定与高效的运行。</w:t>
      </w:r>
    </w:p>
    <w:p>
      <w:pPr>
        <w:pStyle w:val="105"/>
        <w:spacing w:before="312" w:after="312"/>
      </w:pPr>
      <w:bookmarkStart w:id="152" w:name="_Toc71210046"/>
      <w:bookmarkStart w:id="153" w:name="_Toc70672113"/>
      <w:bookmarkStart w:id="154" w:name="_Toc67927630"/>
      <w:bookmarkStart w:id="155" w:name="_Toc69203907"/>
      <w:bookmarkStart w:id="156" w:name="_Toc70672482"/>
      <w:bookmarkStart w:id="157" w:name="_Toc58571485"/>
      <w:bookmarkStart w:id="158" w:name="_Toc70672078"/>
      <w:bookmarkStart w:id="159" w:name="_Toc58571016"/>
      <w:bookmarkStart w:id="160" w:name="_Toc68793321"/>
      <w:bookmarkStart w:id="161" w:name="_Toc67928338"/>
      <w:bookmarkStart w:id="162" w:name="_Toc68253939"/>
      <w:bookmarkStart w:id="163" w:name="_Toc71293584"/>
      <w:bookmarkStart w:id="164" w:name="_Toc71212492"/>
      <w:bookmarkStart w:id="165" w:name="_Toc72162750"/>
      <w:r>
        <w:rPr>
          <w:rFonts w:hint="eastAsia"/>
        </w:rPr>
        <w:t>功能要求</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106"/>
        <w:spacing w:before="156" w:after="156"/>
      </w:pPr>
      <w:bookmarkStart w:id="166" w:name="_Toc72162751"/>
      <w:bookmarkStart w:id="167" w:name="_Toc71293585"/>
      <w:r>
        <w:rPr>
          <w:rFonts w:hint="eastAsia"/>
        </w:rPr>
        <w:t>基本要求</w:t>
      </w:r>
      <w:bookmarkEnd w:id="166"/>
      <w:bookmarkEnd w:id="167"/>
    </w:p>
    <w:p>
      <w:pPr>
        <w:pStyle w:val="166"/>
        <w:ind w:left="0"/>
      </w:pPr>
      <w:r>
        <w:rPr>
          <w:rFonts w:hint="eastAsia"/>
        </w:rPr>
        <w:t>明确思路，统筹资源。明确各业务流程的功能设计要求，按照“一门受理、协同办理”建设统筹不同救助业务模块和系统，统筹实施政府及社会救助资源。</w:t>
      </w:r>
    </w:p>
    <w:p>
      <w:pPr>
        <w:pStyle w:val="166"/>
        <w:ind w:left="0"/>
      </w:pPr>
      <w:r>
        <w:rPr>
          <w:rFonts w:hint="eastAsia"/>
        </w:rPr>
        <w:t>加强创新，重点聚焦。加强数据采集、整合、处理和深度挖掘，全面探索数据管理在民政业务应用的创新，聚焦精准扶贫攻坚、监测低收入人口信息。</w:t>
      </w:r>
    </w:p>
    <w:p>
      <w:pPr>
        <w:pStyle w:val="106"/>
        <w:spacing w:before="156" w:after="156"/>
        <w:rPr>
          <w:color w:val="000000" w:themeColor="text1"/>
        </w:rPr>
      </w:pPr>
      <w:bookmarkStart w:id="168" w:name="_Toc72162752"/>
      <w:r>
        <w:rPr>
          <w:rFonts w:hint="eastAsia"/>
          <w:color w:val="000000" w:themeColor="text1"/>
        </w:rPr>
        <w:t>公共服务平台</w:t>
      </w:r>
      <w:bookmarkEnd w:id="168"/>
    </w:p>
    <w:p>
      <w:pPr>
        <w:pStyle w:val="166"/>
        <w:ind w:left="0"/>
      </w:pPr>
      <w:r>
        <w:rPr>
          <w:rFonts w:hint="eastAsia"/>
        </w:rPr>
        <w:t>展示平台的使用对象主要针对救助对象用户。应具备界面清</w:t>
      </w:r>
      <w:r>
        <w:rPr>
          <w:rFonts w:hint="eastAsia"/>
          <w:color w:val="000000" w:themeColor="text1"/>
        </w:rPr>
        <w:t>晰美观</w:t>
      </w:r>
      <w:r>
        <w:rPr>
          <w:rFonts w:hint="eastAsia"/>
        </w:rPr>
        <w:t>、操作简单、符合救助对象使用习惯等特征。</w:t>
      </w:r>
    </w:p>
    <w:p>
      <w:pPr>
        <w:pStyle w:val="166"/>
        <w:ind w:left="0"/>
      </w:pPr>
      <w:r>
        <w:rPr>
          <w:rFonts w:hint="eastAsia"/>
        </w:rPr>
        <w:t>应通过文本、图像等多种形式及时、准确、全面的公开救助事项相关信息，</w:t>
      </w:r>
      <w:r>
        <w:rPr>
          <w:rFonts w:hint="eastAsia"/>
          <w:color w:val="000000" w:themeColor="text1"/>
        </w:rPr>
        <w:t>向导式界面</w:t>
      </w:r>
      <w:r>
        <w:rPr>
          <w:rFonts w:hint="eastAsia"/>
        </w:rPr>
        <w:t>引导救助对象完成救助申请等操作。</w:t>
      </w:r>
    </w:p>
    <w:p>
      <w:pPr>
        <w:pStyle w:val="166"/>
        <w:ind w:left="0"/>
        <w:rPr>
          <w:color w:val="FF0000"/>
        </w:rPr>
      </w:pPr>
      <w:r>
        <w:rPr>
          <w:rFonts w:hint="eastAsia"/>
        </w:rPr>
        <w:t>应提供网上注册/登录功能，应支持基于居民身份证号码等真实身份信息的平台用户注册。</w:t>
      </w:r>
    </w:p>
    <w:p>
      <w:pPr>
        <w:pStyle w:val="166"/>
        <w:ind w:left="0"/>
      </w:pPr>
      <w:r>
        <w:rPr>
          <w:rFonts w:hint="eastAsia"/>
        </w:rPr>
        <w:t>应提供救助事项的业务受理功能，统一规范申请途径及申请材料。</w:t>
      </w:r>
    </w:p>
    <w:p>
      <w:pPr>
        <w:pStyle w:val="166"/>
        <w:ind w:left="0"/>
      </w:pPr>
      <w:r>
        <w:rPr>
          <w:rFonts w:hint="eastAsia"/>
        </w:rPr>
        <w:t>应提供事项办理查询功能。应设立事项办理查询项目，平台用户依据受理编号或有效证件等方式进行查询救助审核审批情况。</w:t>
      </w:r>
    </w:p>
    <w:p>
      <w:pPr>
        <w:pStyle w:val="166"/>
        <w:ind w:left="0"/>
      </w:pPr>
      <w:r>
        <w:rPr>
          <w:rFonts w:hint="eastAsia"/>
        </w:rPr>
        <w:t>应具备平台用户提出投诉的功能，投诉意见宜采用上传档案图片及文字说明的形式。</w:t>
      </w:r>
    </w:p>
    <w:p>
      <w:pPr>
        <w:pStyle w:val="166"/>
        <w:ind w:left="0"/>
      </w:pPr>
      <w:r>
        <w:rPr>
          <w:rFonts w:hint="eastAsia"/>
        </w:rPr>
        <w:t>应具备平台用户互动功能。应支持在线咨询、征集意见等互动形式。</w:t>
      </w:r>
    </w:p>
    <w:p>
      <w:pPr>
        <w:pStyle w:val="180"/>
      </w:pPr>
      <w:r>
        <w:rPr>
          <w:rFonts w:hint="eastAsia"/>
        </w:rPr>
        <w:t>对救助对象的申报、咨询提问或投诉建议等公开承诺的时限内作出回应并妥善处理。</w:t>
      </w:r>
    </w:p>
    <w:p>
      <w:pPr>
        <w:pStyle w:val="106"/>
        <w:spacing w:before="156" w:after="156"/>
        <w:rPr>
          <w:color w:val="000000" w:themeColor="text1"/>
        </w:rPr>
      </w:pPr>
      <w:bookmarkStart w:id="169" w:name="_Toc72162753"/>
      <w:r>
        <w:rPr>
          <w:rFonts w:hint="eastAsia"/>
          <w:color w:val="000000" w:themeColor="text1"/>
        </w:rPr>
        <w:t>业务管理平台</w:t>
      </w:r>
      <w:bookmarkEnd w:id="169"/>
    </w:p>
    <w:p>
      <w:pPr>
        <w:pStyle w:val="66"/>
        <w:spacing w:before="156" w:after="156"/>
      </w:pPr>
      <w:r>
        <w:rPr>
          <w:rFonts w:hint="eastAsia"/>
        </w:rPr>
        <w:t>知识库管理系统</w:t>
      </w:r>
    </w:p>
    <w:p>
      <w:pPr>
        <w:pStyle w:val="165"/>
        <w:rPr>
          <w:sz w:val="18"/>
          <w:szCs w:val="18"/>
        </w:rPr>
      </w:pPr>
      <w:r>
        <w:rPr>
          <w:rFonts w:hint="eastAsia"/>
        </w:rPr>
        <w:t>应形成平台统一的知识库，包括平台运行所需的各类资料和社会救助领域知识等。</w:t>
      </w:r>
    </w:p>
    <w:p>
      <w:pPr>
        <w:pStyle w:val="180"/>
      </w:pPr>
      <w:r>
        <w:rPr>
          <w:rFonts w:hint="eastAsia"/>
        </w:rPr>
        <w:t>知识库内容宜包括文本、传真、图形、视频、音频等多种形式。</w:t>
      </w:r>
    </w:p>
    <w:p>
      <w:pPr>
        <w:pStyle w:val="165"/>
      </w:pPr>
      <w:r>
        <w:rPr>
          <w:rFonts w:hint="eastAsia"/>
        </w:rPr>
        <w:t>应提供维护管理功能并提供基础服务，及关联分析、智能检索等扩展服务。</w:t>
      </w:r>
    </w:p>
    <w:p>
      <w:pPr>
        <w:pStyle w:val="165"/>
      </w:pPr>
      <w:r>
        <w:rPr>
          <w:rFonts w:hint="eastAsia"/>
        </w:rPr>
        <w:t>基础服务应提供统一的救助事项库服务，应具备向平台相关部门提供目录清单、实施清单、申请材料等信息的填报、审核和发布等服务。主要功能包括但不限于：</w:t>
      </w:r>
    </w:p>
    <w:p>
      <w:pPr>
        <w:pStyle w:val="133"/>
      </w:pPr>
      <w:r>
        <w:rPr>
          <w:rFonts w:hint="eastAsia"/>
        </w:rPr>
        <w:t>目录清单管理：应提供清单要素管理、统一清单数据初始化、动态维护管理等功能；</w:t>
      </w:r>
    </w:p>
    <w:p>
      <w:pPr>
        <w:pStyle w:val="133"/>
      </w:pPr>
      <w:r>
        <w:rPr>
          <w:rFonts w:hint="eastAsia"/>
        </w:rPr>
        <w:t>实施清单管理；应提供清单编制和审核功能；</w:t>
      </w:r>
    </w:p>
    <w:p>
      <w:pPr>
        <w:pStyle w:val="133"/>
      </w:pPr>
      <w:r>
        <w:rPr>
          <w:rFonts w:hint="eastAsia"/>
        </w:rPr>
        <w:t>清单发布管理：应提供救助事项清单同步平台服务门户的功能；</w:t>
      </w:r>
    </w:p>
    <w:p>
      <w:pPr>
        <w:pStyle w:val="133"/>
      </w:pPr>
      <w:r>
        <w:rPr>
          <w:rFonts w:hint="eastAsia"/>
        </w:rPr>
        <w:t>查询统计管理：应提供对平台所有清单查询和分类统计的功能。</w:t>
      </w:r>
    </w:p>
    <w:p>
      <w:pPr>
        <w:pStyle w:val="66"/>
        <w:spacing w:before="156" w:after="156"/>
      </w:pPr>
      <w:r>
        <w:rPr>
          <w:rFonts w:hint="eastAsia"/>
        </w:rPr>
        <w:t>一门受理系统</w:t>
      </w:r>
    </w:p>
    <w:p>
      <w:pPr>
        <w:pStyle w:val="165"/>
      </w:pPr>
      <w:r>
        <w:rPr>
          <w:rFonts w:hint="eastAsia"/>
        </w:rPr>
        <w:t>应统一搭建在政务云平台之上，宜与四川政务一体化平台、一卡通平台等综合政务服务平台对接，所需的基础运行环境由政务云统一提供，各级社会救助管理部门工作人员可通过电子政务外网进行访问。</w:t>
      </w:r>
    </w:p>
    <w:p>
      <w:pPr>
        <w:pStyle w:val="165"/>
        <w:rPr>
          <w:color w:val="FF0000"/>
        </w:rPr>
      </w:pPr>
      <w:r>
        <w:rPr>
          <w:rFonts w:hint="eastAsia"/>
          <w:color w:val="000000" w:themeColor="text1"/>
        </w:rPr>
        <w:t>应</w:t>
      </w:r>
      <w:r>
        <w:rPr>
          <w:rFonts w:hint="eastAsia"/>
        </w:rPr>
        <w:t>为平台各级</w:t>
      </w:r>
      <w:r>
        <w:rPr>
          <w:rFonts w:hint="eastAsia"/>
          <w:color w:val="000000" w:themeColor="text1"/>
        </w:rPr>
        <w:t>相关救助管理部门</w:t>
      </w:r>
      <w:r>
        <w:rPr>
          <w:rFonts w:hint="eastAsia"/>
        </w:rPr>
        <w:t>提供救助事项的统一受理、协同办理服务功能，实现救助事项的受理、转交、办理。主要功能包括但不限于：</w:t>
      </w:r>
    </w:p>
    <w:p>
      <w:pPr>
        <w:pStyle w:val="133"/>
      </w:pPr>
      <w:r>
        <w:rPr>
          <w:rFonts w:hint="eastAsia"/>
        </w:rPr>
        <w:t>应提供对各类救助业务、救助标准及流程的配置功能；</w:t>
      </w:r>
    </w:p>
    <w:p>
      <w:pPr>
        <w:pStyle w:val="133"/>
      </w:pPr>
      <w:r>
        <w:rPr>
          <w:rFonts w:hint="eastAsia"/>
        </w:rPr>
        <w:t>应提供救助事项的统一受理功能，应具备救助事项数据自动流转相关部门审批的功能；</w:t>
      </w:r>
    </w:p>
    <w:p>
      <w:pPr>
        <w:pStyle w:val="133"/>
      </w:pPr>
      <w:r>
        <w:rPr>
          <w:rFonts w:hint="eastAsia"/>
        </w:rPr>
        <w:t>应向各</w:t>
      </w:r>
      <w:r>
        <w:rPr>
          <w:rFonts w:hint="eastAsia"/>
          <w:color w:val="000000" w:themeColor="text1"/>
        </w:rPr>
        <w:t>级相关救助管理部门</w:t>
      </w:r>
      <w:r>
        <w:rPr>
          <w:rFonts w:hint="eastAsia"/>
        </w:rPr>
        <w:t>按救助职责分配相应权限，并按照预先配置的救助事项办理流程完成各自权限的内容；</w:t>
      </w:r>
    </w:p>
    <w:p>
      <w:pPr>
        <w:pStyle w:val="133"/>
      </w:pPr>
      <w:r>
        <w:rPr>
          <w:rFonts w:hint="eastAsia"/>
        </w:rPr>
        <w:t>应提供待办事项展示、办结事项查看、事项挂起等功能，实现申请事项进度实时跟踪等服务。</w:t>
      </w:r>
    </w:p>
    <w:p>
      <w:pPr>
        <w:pStyle w:val="66"/>
        <w:spacing w:before="156" w:after="156"/>
      </w:pPr>
      <w:r>
        <w:rPr>
          <w:rFonts w:hint="eastAsia"/>
        </w:rPr>
        <w:t>居民家庭经济状况核对系统</w:t>
      </w:r>
    </w:p>
    <w:p>
      <w:pPr>
        <w:pStyle w:val="165"/>
      </w:pPr>
      <w:r>
        <w:rPr>
          <w:rFonts w:hint="eastAsia"/>
        </w:rPr>
        <w:t>应具备整合横向各部门（单位）涉及家庭人口、收入、财产等方面数据资源信息的功能，确保核对信息范围广、内容全、准确高的特征。</w:t>
      </w:r>
    </w:p>
    <w:p>
      <w:pPr>
        <w:pStyle w:val="165"/>
      </w:pPr>
      <w:r>
        <w:rPr>
          <w:rFonts w:hint="eastAsia"/>
        </w:rPr>
        <w:t>应具备跨区域信息核对功能，通过设置特定的流</w:t>
      </w:r>
      <w:r>
        <w:rPr>
          <w:rFonts w:hint="eastAsia"/>
          <w:color w:val="000000" w:themeColor="text1"/>
        </w:rPr>
        <w:t>程实现经济状况自动评估功能</w:t>
      </w:r>
      <w:r>
        <w:rPr>
          <w:rFonts w:hint="eastAsia"/>
        </w:rPr>
        <w:t>，生成居民家庭评估报告。</w:t>
      </w:r>
    </w:p>
    <w:p>
      <w:pPr>
        <w:pStyle w:val="165"/>
      </w:pPr>
      <w:r>
        <w:rPr>
          <w:rFonts w:hint="eastAsia"/>
        </w:rPr>
        <w:t>通过与相关部门和机构进行数据交换，完成居民经济状况的查询、核对工作，并综合评估分析居民家庭经济状况。主要功能包括但不限于：</w:t>
      </w:r>
    </w:p>
    <w:p>
      <w:pPr>
        <w:pStyle w:val="133"/>
      </w:pPr>
      <w:r>
        <w:rPr>
          <w:rFonts w:hint="eastAsia"/>
        </w:rPr>
        <w:t>核对系统管理子</w:t>
      </w:r>
      <w:r>
        <w:rPr>
          <w:rFonts w:hint="eastAsia"/>
          <w:color w:val="000000" w:themeColor="text1"/>
        </w:rPr>
        <w:t>系统</w:t>
      </w:r>
      <w:r>
        <w:rPr>
          <w:rFonts w:hint="eastAsia"/>
        </w:rPr>
        <w:t>：应提供数据元管理、数据字典管理、行政区划管理、权限管理、组织</w:t>
      </w:r>
    </w:p>
    <w:p>
      <w:pPr>
        <w:pStyle w:val="133"/>
        <w:numPr>
          <w:ilvl w:val="0"/>
          <w:numId w:val="0"/>
        </w:numPr>
        <w:ind w:firstLine="840" w:firstLineChars="400"/>
      </w:pPr>
      <w:r>
        <w:rPr>
          <w:rFonts w:hint="eastAsia"/>
        </w:rPr>
        <w:t>架构管理、运行管理和知识库管理等功能；</w:t>
      </w:r>
    </w:p>
    <w:p>
      <w:pPr>
        <w:pStyle w:val="133"/>
      </w:pPr>
      <w:r>
        <w:rPr>
          <w:rFonts w:hint="eastAsia"/>
        </w:rPr>
        <w:t>核对业务办理</w:t>
      </w:r>
      <w:r>
        <w:rPr>
          <w:rFonts w:hint="eastAsia"/>
          <w:color w:val="000000" w:themeColor="text1"/>
        </w:rPr>
        <w:t>子系统</w:t>
      </w:r>
      <w:r>
        <w:rPr>
          <w:rFonts w:hint="eastAsia"/>
        </w:rPr>
        <w:t>：应提供居民家庭经济状况核对委托申请的提交、接收、复核以及核对报告生成的业务流程作业功能；</w:t>
      </w:r>
    </w:p>
    <w:p>
      <w:pPr>
        <w:pStyle w:val="133"/>
      </w:pPr>
      <w:r>
        <w:rPr>
          <w:rFonts w:hint="eastAsia"/>
        </w:rPr>
        <w:t>核对业务数据交换子</w:t>
      </w:r>
      <w:r>
        <w:rPr>
          <w:rFonts w:hint="eastAsia"/>
          <w:color w:val="000000" w:themeColor="text1"/>
        </w:rPr>
        <w:t>系统：</w:t>
      </w:r>
      <w:r>
        <w:rPr>
          <w:rFonts w:hint="eastAsia"/>
        </w:rPr>
        <w:t>应提供各级数据中心的数据同步以及与共享单位数据交换等核心功能；</w:t>
      </w:r>
    </w:p>
    <w:p>
      <w:pPr>
        <w:pStyle w:val="133"/>
      </w:pPr>
      <w:r>
        <w:rPr>
          <w:rFonts w:hint="eastAsia"/>
        </w:rPr>
        <w:t>核对业务监督预警子系统：应提供对业务相关信息和操作进行监管及预警的功能，包括敏感操作动态监测预警、敏感信息动态监测预警、业务流程监测预警、监控预警信息统计等；</w:t>
      </w:r>
    </w:p>
    <w:p>
      <w:pPr>
        <w:pStyle w:val="133"/>
      </w:pPr>
      <w:r>
        <w:rPr>
          <w:rFonts w:hint="eastAsia"/>
        </w:rPr>
        <w:t>核对业务统计决策子</w:t>
      </w:r>
      <w:r>
        <w:rPr>
          <w:rFonts w:hint="eastAsia"/>
          <w:color w:val="000000" w:themeColor="text1"/>
        </w:rPr>
        <w:t>系统</w:t>
      </w:r>
      <w:r>
        <w:rPr>
          <w:rFonts w:hint="eastAsia"/>
        </w:rPr>
        <w:t>：应以图状等形式提供核对业务过程中的统计管理功能，从核对机构、核对对象、委托单位（信息共享单位）等角度对核对业务所产生的数据进提供分析和展现功能，包括核对业务概况统计，核对对象统计分析，委托单位统计分析，信息共享单位统计分析，核对项目统计分析，核对结果统计分析，核对检出统计分析，预警统计分析等功能。</w:t>
      </w:r>
    </w:p>
    <w:p>
      <w:pPr>
        <w:pStyle w:val="66"/>
        <w:spacing w:before="156" w:after="156"/>
      </w:pPr>
      <w:r>
        <w:rPr>
          <w:rFonts w:hint="eastAsia"/>
        </w:rPr>
        <w:t>档案管理系统</w:t>
      </w:r>
    </w:p>
    <w:p>
      <w:pPr>
        <w:pStyle w:val="57"/>
        <w:ind w:firstLine="420"/>
      </w:pPr>
      <w:r>
        <w:rPr>
          <w:rFonts w:hint="eastAsia"/>
        </w:rPr>
        <w:t>应提供电子化档案管理功能，电子档案应加盖时间戳，实现办理材料电子化归档、管理、查阅等。档案管理系统主要功能包括但不限于：</w:t>
      </w:r>
    </w:p>
    <w:p>
      <w:pPr>
        <w:pStyle w:val="133"/>
      </w:pPr>
      <w:r>
        <w:rPr>
          <w:rFonts w:hint="eastAsia"/>
        </w:rPr>
        <w:t>应提供待遇变更、家庭迁移、人口结构及信息变更等电子档案信息动态管理功能；</w:t>
      </w:r>
    </w:p>
    <w:p>
      <w:pPr>
        <w:pStyle w:val="133"/>
      </w:pPr>
      <w:r>
        <w:rPr>
          <w:rFonts w:hint="eastAsia"/>
        </w:rPr>
        <w:t>应提供救助业务办理完成后的审批档案动态管理功能，包含但不限于城乡低保、城乡特困供养等救助业务的审批档案动态管理；</w:t>
      </w:r>
    </w:p>
    <w:p>
      <w:pPr>
        <w:pStyle w:val="133"/>
      </w:pPr>
      <w:r>
        <w:rPr>
          <w:rFonts w:hint="eastAsia"/>
        </w:rPr>
        <w:t>应提供统计查询、资金发放记录查询等功能，避免多重救助和交叉救助；</w:t>
      </w:r>
    </w:p>
    <w:p>
      <w:pPr>
        <w:pStyle w:val="133"/>
      </w:pPr>
      <w:r>
        <w:rPr>
          <w:rFonts w:hint="eastAsia"/>
        </w:rPr>
        <w:t>宜依托档案管理系统形成困难群众数据库、救助成果库等分类数据库。</w:t>
      </w:r>
    </w:p>
    <w:p>
      <w:pPr>
        <w:pStyle w:val="180"/>
        <w:rPr>
          <w:color w:val="000000" w:themeColor="text1"/>
        </w:rPr>
      </w:pPr>
      <w:r>
        <w:rPr>
          <w:rFonts w:hint="eastAsia"/>
          <w:color w:val="000000" w:themeColor="text1"/>
        </w:rPr>
        <w:t>电子档案可作为正式的办理材料。</w:t>
      </w:r>
    </w:p>
    <w:p>
      <w:pPr>
        <w:pStyle w:val="66"/>
        <w:spacing w:before="156" w:after="156"/>
      </w:pPr>
      <w:bookmarkStart w:id="170" w:name="_Toc68793324"/>
      <w:bookmarkStart w:id="171" w:name="_Toc67927633"/>
      <w:bookmarkStart w:id="172" w:name="_Toc58571021"/>
      <w:bookmarkStart w:id="173" w:name="_Toc67928341"/>
      <w:bookmarkStart w:id="174" w:name="_Toc68253942"/>
      <w:r>
        <w:rPr>
          <w:rFonts w:hint="eastAsia"/>
        </w:rPr>
        <w:t>大数据信息资源整合与分析系统</w:t>
      </w:r>
      <w:bookmarkEnd w:id="170"/>
      <w:bookmarkEnd w:id="171"/>
      <w:bookmarkEnd w:id="172"/>
      <w:bookmarkEnd w:id="173"/>
      <w:bookmarkEnd w:id="174"/>
    </w:p>
    <w:p>
      <w:pPr>
        <w:pStyle w:val="165"/>
      </w:pPr>
      <w:r>
        <w:rPr>
          <w:rFonts w:hint="eastAsia"/>
        </w:rPr>
        <w:t>应提供实现各类民政业务数据的模糊查询、主题分析、关联分析、综合分析、多维分析、数据挖掘等功能。</w:t>
      </w:r>
    </w:p>
    <w:p>
      <w:pPr>
        <w:pStyle w:val="165"/>
      </w:pPr>
      <w:r>
        <w:rPr>
          <w:rFonts w:hint="eastAsia"/>
          <w:color w:val="000000" w:themeColor="text1"/>
        </w:rPr>
        <w:t>应服务于当代民生政策，</w:t>
      </w:r>
      <w:r>
        <w:rPr>
          <w:rFonts w:hint="eastAsia"/>
        </w:rPr>
        <w:t>为居民家庭经济数据深入分析和辅助决策提供数据支撑功能，宜提供分析低收入人群分布特征、</w:t>
      </w:r>
      <w:r>
        <w:rPr>
          <w:rFonts w:hint="eastAsia"/>
          <w:color w:val="000000" w:themeColor="text1"/>
        </w:rPr>
        <w:t>文化技能、就业收入、消费特点</w:t>
      </w:r>
      <w:r>
        <w:rPr>
          <w:rFonts w:hint="eastAsia"/>
        </w:rPr>
        <w:t>、致贫原因及变化趋势，挖掘低收入人群政策需求。</w:t>
      </w:r>
    </w:p>
    <w:p>
      <w:pPr>
        <w:pStyle w:val="165"/>
      </w:pPr>
      <w:r>
        <w:rPr>
          <w:rFonts w:hint="eastAsia"/>
        </w:rPr>
        <w:t>大数据信息资源整合与分析系统主要功能包括但不限于：</w:t>
      </w:r>
    </w:p>
    <w:p>
      <w:pPr>
        <w:pStyle w:val="133"/>
      </w:pPr>
      <w:r>
        <w:rPr>
          <w:rFonts w:hint="eastAsia"/>
        </w:rPr>
        <w:t>大数据信息资源库建设：应提供各类基础信息数据、业务生产数据、决策分析数据、交换共享数据等的集中存储、统一管理和统一共享服务功能；</w:t>
      </w:r>
    </w:p>
    <w:p>
      <w:pPr>
        <w:pStyle w:val="133"/>
      </w:pPr>
      <w:r>
        <w:rPr>
          <w:rFonts w:hint="eastAsia"/>
        </w:rPr>
        <w:t>大数据信息分析与统计子系统：应具体提供对数据进行抽取、清晰、分析、共享、展示的综合性大数据分析功能；实现核对对象类、委托单位类、核对项目类、信息共享单位类、核对结果类、预警监测类、业务统计类等统计功能；</w:t>
      </w:r>
    </w:p>
    <w:p>
      <w:pPr>
        <w:pStyle w:val="133"/>
      </w:pPr>
      <w:r>
        <w:rPr>
          <w:rFonts w:hint="eastAsia"/>
        </w:rPr>
        <w:t>智能搜索子系统：提供授权访问的全部数据搜索以及档案搜素的综合管理功能。</w:t>
      </w:r>
    </w:p>
    <w:p>
      <w:pPr>
        <w:pStyle w:val="180"/>
      </w:pPr>
      <w:r>
        <w:rPr>
          <w:rFonts w:hint="eastAsia"/>
        </w:rPr>
        <w:t>数据也应设置访问级别。</w:t>
      </w:r>
    </w:p>
    <w:p>
      <w:pPr>
        <w:pStyle w:val="66"/>
        <w:spacing w:before="156" w:after="156"/>
        <w:rPr>
          <w:shd w:val="clear" w:color="auto" w:fill="FFFFFF"/>
        </w:rPr>
      </w:pPr>
      <w:r>
        <w:rPr>
          <w:rFonts w:hint="eastAsia"/>
          <w:shd w:val="clear" w:color="auto" w:fill="FFFFFF"/>
        </w:rPr>
        <w:t>低收入人口动态监测信息系统</w:t>
      </w:r>
    </w:p>
    <w:p>
      <w:pPr>
        <w:pStyle w:val="57"/>
        <w:ind w:firstLine="420"/>
      </w:pPr>
      <w:r>
        <w:rPr>
          <w:rFonts w:hint="eastAsia"/>
        </w:rPr>
        <w:t>应建立主动发现机制，依托系统开展低收入人口动态监测工作，根据区域性实际需求拓展平台功能和应用。低收入人口动态监测信息系统主要功能包括但不限于：</w:t>
      </w:r>
    </w:p>
    <w:p>
      <w:pPr>
        <w:pStyle w:val="133"/>
      </w:pPr>
      <w:r>
        <w:rPr>
          <w:rFonts w:hint="eastAsia"/>
        </w:rPr>
        <w:t>应提供数据采集功能，设置低收入人口各项指标信息，统一数据采集内容，根据需求配置指标权重；</w:t>
      </w:r>
    </w:p>
    <w:p>
      <w:pPr>
        <w:pStyle w:val="133"/>
      </w:pPr>
      <w:r>
        <w:rPr>
          <w:rFonts w:hint="eastAsia"/>
        </w:rPr>
        <w:t>应建立低收入人口数据库，实现对低收入人口的信息汇聚与实时更新，提供与相关部门间信息共享和数据比对功能；</w:t>
      </w:r>
    </w:p>
    <w:p>
      <w:pPr>
        <w:pStyle w:val="133"/>
      </w:pPr>
      <w:r>
        <w:rPr>
          <w:rFonts w:hint="eastAsia"/>
        </w:rPr>
        <w:t>应提供监测预警功能，构建动态监测模型对低收入人口的数据信息进行风险预警、研判，提供主动救助功能，符合救助模型的宜自动推送相关部门进行救助认定流程；</w:t>
      </w:r>
    </w:p>
    <w:p>
      <w:pPr>
        <w:pStyle w:val="133"/>
      </w:pPr>
      <w:r>
        <w:rPr>
          <w:rFonts w:hint="eastAsia"/>
        </w:rPr>
        <w:t>应提供统计及展示功能，如低收入群体数据应用及统计报表等功能；</w:t>
      </w:r>
    </w:p>
    <w:p>
      <w:pPr>
        <w:pStyle w:val="133"/>
      </w:pPr>
      <w:r>
        <w:rPr>
          <w:rFonts w:hint="eastAsia"/>
        </w:rPr>
        <w:t>宜提供社会资源的主动参与功能，如设置公益性民生服务项目链接等。</w:t>
      </w:r>
    </w:p>
    <w:p>
      <w:pPr>
        <w:pStyle w:val="106"/>
        <w:spacing w:before="156" w:after="156"/>
        <w:rPr>
          <w:color w:val="000000" w:themeColor="text1"/>
        </w:rPr>
      </w:pPr>
      <w:bookmarkStart w:id="175" w:name="_Toc71293588"/>
      <w:bookmarkStart w:id="176" w:name="_Toc71210049"/>
      <w:bookmarkStart w:id="177" w:name="_Toc70672081"/>
      <w:bookmarkStart w:id="178" w:name="_Toc71212495"/>
      <w:bookmarkStart w:id="179" w:name="_Toc70672116"/>
      <w:bookmarkStart w:id="180" w:name="_Toc70672485"/>
      <w:bookmarkStart w:id="181" w:name="_Toc72162754"/>
      <w:r>
        <w:rPr>
          <w:rFonts w:hint="eastAsia"/>
          <w:color w:val="000000" w:themeColor="text1"/>
        </w:rPr>
        <w:t>扩展平台</w:t>
      </w:r>
      <w:bookmarkEnd w:id="175"/>
      <w:bookmarkEnd w:id="176"/>
      <w:bookmarkEnd w:id="177"/>
      <w:bookmarkEnd w:id="178"/>
      <w:bookmarkEnd w:id="179"/>
      <w:bookmarkEnd w:id="180"/>
      <w:bookmarkEnd w:id="181"/>
    </w:p>
    <w:p>
      <w:pPr>
        <w:pStyle w:val="166"/>
        <w:ind w:left="0"/>
      </w:pPr>
      <w:bookmarkStart w:id="182" w:name="_Toc68793326"/>
      <w:bookmarkStart w:id="183" w:name="_Toc58571023"/>
      <w:bookmarkStart w:id="184" w:name="_Toc67927635"/>
      <w:bookmarkStart w:id="185" w:name="_Toc68253944"/>
      <w:bookmarkStart w:id="186" w:name="_Toc67928343"/>
      <w:bookmarkStart w:id="187" w:name="_Toc58571486"/>
      <w:r>
        <w:rPr>
          <w:rFonts w:hint="eastAsia"/>
          <w:color w:val="000000" w:themeColor="text1"/>
        </w:rPr>
        <w:t>电子证照系统应对接本地政务服务系统，</w:t>
      </w:r>
      <w:r>
        <w:rPr>
          <w:rFonts w:hint="eastAsia"/>
        </w:rPr>
        <w:t>提供数字证照的生成、管理、共享服务等功能，系统应</w:t>
      </w:r>
      <w:r>
        <w:rPr>
          <w:rFonts w:hint="eastAsia"/>
          <w:color w:val="000000" w:themeColor="text1"/>
        </w:rPr>
        <w:t>包括电子</w:t>
      </w:r>
      <w:r>
        <w:rPr>
          <w:rFonts w:hint="eastAsia"/>
        </w:rPr>
        <w:t>证照管理系统、电子证照共享系统、电子证照信息库等。电子证照系统主要功能包括但不限于：</w:t>
      </w:r>
    </w:p>
    <w:p>
      <w:pPr>
        <w:pStyle w:val="133"/>
      </w:pPr>
      <w:r>
        <w:rPr>
          <w:rFonts w:hint="eastAsia"/>
        </w:rPr>
        <w:t>管理证照目录、数据及共享服务，形成发证清单与用证清单；</w:t>
      </w:r>
    </w:p>
    <w:p>
      <w:pPr>
        <w:pStyle w:val="133"/>
      </w:pPr>
      <w:r>
        <w:rPr>
          <w:rFonts w:hint="eastAsia"/>
        </w:rPr>
        <w:t>通过汇集各部门存量及增量证照，形成电子证照库，并建设形成数据更新机制；</w:t>
      </w:r>
    </w:p>
    <w:p>
      <w:pPr>
        <w:pStyle w:val="133"/>
      </w:pPr>
      <w:r>
        <w:rPr>
          <w:rFonts w:hint="eastAsia"/>
        </w:rPr>
        <w:t>与国家政务服务平台电子证照共享中心对接，实现跨区域电子证照共享机制。</w:t>
      </w:r>
    </w:p>
    <w:p>
      <w:pPr>
        <w:pStyle w:val="166"/>
        <w:ind w:left="0"/>
        <w:rPr>
          <w:color w:val="000000" w:themeColor="text1"/>
        </w:rPr>
      </w:pPr>
      <w:r>
        <w:rPr>
          <w:rFonts w:hint="eastAsia"/>
          <w:color w:val="000000" w:themeColor="text1"/>
        </w:rPr>
        <w:t>应建立电子签章管理系统，为审批服务提供基础支撑，提供签章、验章、证书查看等服务。</w:t>
      </w:r>
    </w:p>
    <w:p>
      <w:pPr>
        <w:pStyle w:val="166"/>
        <w:ind w:left="0"/>
      </w:pPr>
      <w:r>
        <w:rPr>
          <w:rFonts w:hint="eastAsia"/>
          <w:color w:val="000000" w:themeColor="text1"/>
        </w:rPr>
        <w:t>应建立电</w:t>
      </w:r>
      <w:r>
        <w:rPr>
          <w:rFonts w:hint="eastAsia"/>
        </w:rPr>
        <w:t>子监察系统应，对各级社会救助管理机构及救助过程实施监督管理。通过设定监察指标和监察规则，提供救助事项办理的实时监控、预警纠错、监督查办、时限监督、大数据监察等功能。</w:t>
      </w:r>
    </w:p>
    <w:p>
      <w:pPr>
        <w:pStyle w:val="105"/>
        <w:spacing w:before="312" w:after="312"/>
      </w:pPr>
      <w:bookmarkStart w:id="188" w:name="_Toc70672082"/>
      <w:bookmarkStart w:id="189" w:name="_Toc71293589"/>
      <w:bookmarkStart w:id="190" w:name="_Toc71212496"/>
      <w:bookmarkStart w:id="191" w:name="_Toc70672486"/>
      <w:bookmarkStart w:id="192" w:name="_Toc70672117"/>
      <w:bookmarkStart w:id="193" w:name="_Toc71210050"/>
      <w:bookmarkStart w:id="194" w:name="_Toc69203911"/>
      <w:bookmarkStart w:id="195" w:name="_Toc72162755"/>
      <w:r>
        <w:rPr>
          <w:rFonts w:hint="eastAsia"/>
        </w:rPr>
        <w:t>技术要求</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106"/>
        <w:spacing w:before="156" w:after="156"/>
      </w:pPr>
      <w:bookmarkStart w:id="196" w:name="_Toc70672083"/>
      <w:bookmarkStart w:id="197" w:name="_Toc70672118"/>
      <w:bookmarkStart w:id="198" w:name="_Toc58571024"/>
      <w:bookmarkStart w:id="199" w:name="_Toc71210051"/>
      <w:bookmarkStart w:id="200" w:name="_Toc69115757"/>
      <w:bookmarkStart w:id="201" w:name="_Toc68793327"/>
      <w:bookmarkStart w:id="202" w:name="_Toc69115633"/>
      <w:bookmarkStart w:id="203" w:name="_Toc69203912"/>
      <w:bookmarkStart w:id="204" w:name="_Toc67928344"/>
      <w:bookmarkStart w:id="205" w:name="_Toc69115556"/>
      <w:bookmarkStart w:id="206" w:name="_Toc68253945"/>
      <w:bookmarkStart w:id="207" w:name="_Toc70672487"/>
      <w:bookmarkStart w:id="208" w:name="_Toc71212497"/>
      <w:bookmarkStart w:id="209" w:name="_Toc69113226"/>
      <w:bookmarkStart w:id="210" w:name="_Toc71293590"/>
      <w:bookmarkStart w:id="211" w:name="_Toc67927636"/>
      <w:bookmarkStart w:id="212" w:name="_Toc69113263"/>
      <w:bookmarkStart w:id="213" w:name="_Toc72162756"/>
      <w:bookmarkStart w:id="214" w:name="_Toc68253948"/>
      <w:bookmarkStart w:id="215" w:name="_Toc68793330"/>
      <w:bookmarkStart w:id="216" w:name="_Toc67928347"/>
      <w:bookmarkStart w:id="217" w:name="_Toc67927639"/>
      <w:r>
        <w:rPr>
          <w:rFonts w:hint="eastAsia"/>
        </w:rPr>
        <w:t>数据接口</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57"/>
        <w:ind w:firstLine="420"/>
      </w:pPr>
      <w:r>
        <w:rPr>
          <w:rFonts w:hint="eastAsia"/>
        </w:rPr>
        <w:t>应共同搭建社会救助信息化平台、全面推行网络办理。社会救助综合服务平台可根据平台管理要求，预留与外部接口进行数据交换的统一接口服务机制，提供与其他职能部门等相关系统平台的数据接口，实现数据共享交换。</w:t>
      </w:r>
    </w:p>
    <w:p>
      <w:pPr>
        <w:pStyle w:val="106"/>
        <w:spacing w:before="156" w:after="156"/>
      </w:pPr>
      <w:bookmarkStart w:id="218" w:name="_Toc68253946"/>
      <w:bookmarkStart w:id="219" w:name="_Toc69115557"/>
      <w:bookmarkStart w:id="220" w:name="_Toc68793328"/>
      <w:bookmarkStart w:id="221" w:name="_Toc58571025"/>
      <w:bookmarkStart w:id="222" w:name="_Toc70672084"/>
      <w:bookmarkStart w:id="223" w:name="_Toc69115634"/>
      <w:bookmarkStart w:id="224" w:name="_Toc67927637"/>
      <w:bookmarkStart w:id="225" w:name="_Toc70672119"/>
      <w:bookmarkStart w:id="226" w:name="_Toc71212498"/>
      <w:bookmarkStart w:id="227" w:name="_Toc69113264"/>
      <w:bookmarkStart w:id="228" w:name="_Toc69113227"/>
      <w:bookmarkStart w:id="229" w:name="_Toc70672488"/>
      <w:bookmarkStart w:id="230" w:name="_Toc71293591"/>
      <w:bookmarkStart w:id="231" w:name="_Toc67928345"/>
      <w:bookmarkStart w:id="232" w:name="_Toc69115758"/>
      <w:bookmarkStart w:id="233" w:name="_Toc71210052"/>
      <w:bookmarkStart w:id="234" w:name="_Toc69203913"/>
      <w:bookmarkStart w:id="235" w:name="_Toc72162757"/>
      <w:r>
        <w:rPr>
          <w:rFonts w:hint="eastAsia"/>
        </w:rPr>
        <w:t>安全性要求</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57"/>
        <w:ind w:firstLine="420"/>
      </w:pPr>
      <w:r>
        <w:rPr>
          <w:rFonts w:hint="eastAsia"/>
        </w:rPr>
        <w:t>平台应具备较强安全防范能力，提供系统安全保障和网咯环境安全。</w:t>
      </w:r>
    </w:p>
    <w:p>
      <w:pPr>
        <w:pStyle w:val="57"/>
        <w:ind w:firstLine="420"/>
      </w:pPr>
      <w:r>
        <w:rPr>
          <w:rFonts w:hint="eastAsia"/>
        </w:rPr>
        <w:t>平台应根据 GB/T 22239 要求设定安全等级。</w:t>
      </w:r>
    </w:p>
    <w:p>
      <w:pPr>
        <w:pStyle w:val="106"/>
        <w:spacing w:before="156" w:after="156"/>
      </w:pPr>
      <w:bookmarkStart w:id="236" w:name="_Toc70672085"/>
      <w:bookmarkStart w:id="237" w:name="_Toc70672120"/>
      <w:bookmarkStart w:id="238" w:name="_Toc69203914"/>
      <w:bookmarkStart w:id="239" w:name="_Toc67928346"/>
      <w:bookmarkStart w:id="240" w:name="_Toc71293592"/>
      <w:bookmarkStart w:id="241" w:name="_Toc71212499"/>
      <w:bookmarkStart w:id="242" w:name="_Toc71210053"/>
      <w:bookmarkStart w:id="243" w:name="_Toc69115635"/>
      <w:bookmarkStart w:id="244" w:name="_Toc68793329"/>
      <w:bookmarkStart w:id="245" w:name="_Toc68253947"/>
      <w:bookmarkStart w:id="246" w:name="_Toc69115759"/>
      <w:bookmarkStart w:id="247" w:name="_Toc69113228"/>
      <w:bookmarkStart w:id="248" w:name="_Toc69113265"/>
      <w:bookmarkStart w:id="249" w:name="_Toc70672489"/>
      <w:bookmarkStart w:id="250" w:name="_Toc69115558"/>
      <w:bookmarkStart w:id="251" w:name="_Toc67927638"/>
      <w:bookmarkStart w:id="252" w:name="_Toc72162758"/>
      <w:r>
        <w:rPr>
          <w:rFonts w:hint="eastAsia"/>
        </w:rPr>
        <w:t>性能要求</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57"/>
        <w:ind w:firstLine="420"/>
      </w:pPr>
      <w:r>
        <w:rPr>
          <w:rFonts w:hint="eastAsia"/>
        </w:rPr>
        <w:t>平台应具有较高可靠性，软硬件性能应满足日常访问最高峰值，关键设备和部件应备份，数据应异地备份，并具有应急和灾难恢复措施。</w:t>
      </w:r>
    </w:p>
    <w:p>
      <w:pPr>
        <w:pStyle w:val="105"/>
        <w:spacing w:before="312" w:after="312"/>
      </w:pPr>
      <w:bookmarkStart w:id="253" w:name="_Toc70672490"/>
      <w:bookmarkStart w:id="254" w:name="_Toc71210054"/>
      <w:bookmarkStart w:id="255" w:name="_Toc70672086"/>
      <w:bookmarkStart w:id="256" w:name="_Toc71212500"/>
      <w:bookmarkStart w:id="257" w:name="_Toc70672121"/>
      <w:bookmarkStart w:id="258" w:name="_Toc69203915"/>
      <w:bookmarkStart w:id="259" w:name="_Toc71293593"/>
      <w:bookmarkStart w:id="260" w:name="_Toc72162759"/>
      <w:r>
        <w:rPr>
          <w:rFonts w:hint="eastAsia"/>
        </w:rPr>
        <w:t>运行维护</w:t>
      </w:r>
      <w:bookmarkEnd w:id="214"/>
      <w:bookmarkEnd w:id="215"/>
      <w:bookmarkEnd w:id="216"/>
      <w:bookmarkEnd w:id="217"/>
      <w:bookmarkEnd w:id="253"/>
      <w:bookmarkEnd w:id="254"/>
      <w:bookmarkEnd w:id="255"/>
      <w:bookmarkEnd w:id="256"/>
      <w:bookmarkEnd w:id="257"/>
      <w:bookmarkEnd w:id="258"/>
      <w:bookmarkEnd w:id="259"/>
      <w:bookmarkEnd w:id="260"/>
    </w:p>
    <w:p>
      <w:pPr>
        <w:pStyle w:val="57"/>
        <w:ind w:left="105" w:leftChars="50" w:firstLine="315" w:firstLineChars="150"/>
      </w:pPr>
      <w:r>
        <w:rPr>
          <w:rFonts w:hint="eastAsia"/>
        </w:rPr>
        <w:t>平台应具备完善的运维管理体系并严格按照体系执行，系统运行维护基础要求应符合 GB/T 28827.1的要求；系统运行维护的交付应符合 GB/T 28827.2 的要求；系统运行维护的应急响应应符合GB/T 28827.3 的要求。</w:t>
      </w:r>
    </w:p>
    <w:p>
      <w:pPr>
        <w:pStyle w:val="57"/>
        <w:ind w:firstLine="420"/>
      </w:pPr>
      <w:r>
        <w:rPr>
          <w:rFonts w:hint="eastAsia"/>
        </w:rPr>
        <w:t>应建立健全的运行维护机制，设置专人负责维护与区域内各级部门（机构）对接运维工作，并定期收集运行中出现的问题并予以优化。</w:t>
      </w:r>
    </w:p>
    <w:p>
      <w:pPr>
        <w:pStyle w:val="105"/>
        <w:spacing w:before="312" w:after="312"/>
      </w:pPr>
      <w:bookmarkStart w:id="261" w:name="_Toc71212501"/>
      <w:bookmarkStart w:id="262" w:name="_Toc70672491"/>
      <w:bookmarkStart w:id="263" w:name="_Toc69203916"/>
      <w:bookmarkStart w:id="264" w:name="_Toc68793331"/>
      <w:bookmarkStart w:id="265" w:name="_Toc70672087"/>
      <w:bookmarkStart w:id="266" w:name="_Toc67927640"/>
      <w:bookmarkStart w:id="267" w:name="_Toc67928348"/>
      <w:bookmarkStart w:id="268" w:name="_Toc71210055"/>
      <w:bookmarkStart w:id="269" w:name="_Toc68253949"/>
      <w:bookmarkStart w:id="270" w:name="_Toc71293594"/>
      <w:bookmarkStart w:id="271" w:name="_Toc70672122"/>
      <w:bookmarkStart w:id="272" w:name="_Toc72162760"/>
      <w:r>
        <w:rPr>
          <w:rFonts w:hint="eastAsia"/>
        </w:rPr>
        <w:t>工作规范</w:t>
      </w:r>
      <w:bookmarkEnd w:id="261"/>
      <w:bookmarkEnd w:id="262"/>
      <w:bookmarkEnd w:id="263"/>
      <w:bookmarkEnd w:id="264"/>
      <w:bookmarkEnd w:id="265"/>
      <w:bookmarkEnd w:id="266"/>
      <w:bookmarkEnd w:id="267"/>
      <w:bookmarkEnd w:id="268"/>
      <w:bookmarkEnd w:id="269"/>
      <w:bookmarkEnd w:id="270"/>
      <w:bookmarkEnd w:id="271"/>
      <w:bookmarkEnd w:id="272"/>
    </w:p>
    <w:p>
      <w:pPr>
        <w:pStyle w:val="106"/>
        <w:spacing w:before="156" w:after="156"/>
      </w:pPr>
      <w:bookmarkStart w:id="273" w:name="_Toc68253950"/>
      <w:bookmarkStart w:id="274" w:name="_Toc70672088"/>
      <w:bookmarkStart w:id="275" w:name="_Toc67928349"/>
      <w:bookmarkStart w:id="276" w:name="_Toc71293595"/>
      <w:bookmarkStart w:id="277" w:name="_Toc70672492"/>
      <w:bookmarkStart w:id="278" w:name="_Toc71212502"/>
      <w:bookmarkStart w:id="279" w:name="_Toc71210056"/>
      <w:bookmarkStart w:id="280" w:name="_Toc67927641"/>
      <w:bookmarkStart w:id="281" w:name="_Toc70672123"/>
      <w:bookmarkStart w:id="282" w:name="_Toc68793332"/>
      <w:bookmarkStart w:id="283" w:name="_Toc69203917"/>
      <w:bookmarkStart w:id="284" w:name="_Toc72162761"/>
      <w:r>
        <w:rPr>
          <w:rFonts w:hint="eastAsia"/>
        </w:rPr>
        <w:t>基本原则</w:t>
      </w:r>
      <w:bookmarkEnd w:id="273"/>
      <w:bookmarkEnd w:id="274"/>
      <w:bookmarkEnd w:id="275"/>
      <w:bookmarkEnd w:id="276"/>
      <w:bookmarkEnd w:id="277"/>
      <w:bookmarkEnd w:id="278"/>
      <w:bookmarkEnd w:id="279"/>
      <w:bookmarkEnd w:id="280"/>
      <w:bookmarkEnd w:id="281"/>
      <w:bookmarkEnd w:id="282"/>
      <w:bookmarkEnd w:id="283"/>
      <w:bookmarkEnd w:id="284"/>
    </w:p>
    <w:p>
      <w:pPr>
        <w:pStyle w:val="57"/>
        <w:ind w:firstLine="420"/>
      </w:pPr>
      <w:r>
        <w:rPr>
          <w:rFonts w:hint="eastAsia"/>
        </w:rPr>
        <w:t>应依托救助体系建立省、市（州）、县（区）、乡镇（街道）及同级相关部门的部门协同、分级联动的平台运行工作机制。</w:t>
      </w:r>
    </w:p>
    <w:p>
      <w:pPr>
        <w:pStyle w:val="106"/>
        <w:spacing w:before="156" w:after="156"/>
      </w:pPr>
      <w:bookmarkStart w:id="285" w:name="_Toc68253951"/>
      <w:bookmarkStart w:id="286" w:name="_Toc70672089"/>
      <w:bookmarkStart w:id="287" w:name="_Toc71293596"/>
      <w:bookmarkStart w:id="288" w:name="_Toc70672124"/>
      <w:bookmarkStart w:id="289" w:name="_Toc67927642"/>
      <w:bookmarkStart w:id="290" w:name="_Toc67928350"/>
      <w:bookmarkStart w:id="291" w:name="_Toc69203918"/>
      <w:bookmarkStart w:id="292" w:name="_Toc70672493"/>
      <w:bookmarkStart w:id="293" w:name="_Toc68793333"/>
      <w:bookmarkStart w:id="294" w:name="_Toc71210057"/>
      <w:bookmarkStart w:id="295" w:name="_Toc71212503"/>
      <w:bookmarkStart w:id="296" w:name="_Toc72162762"/>
      <w:r>
        <w:rPr>
          <w:rFonts w:hint="eastAsia"/>
        </w:rPr>
        <w:t>组织机构及职责</w:t>
      </w:r>
      <w:bookmarkEnd w:id="285"/>
      <w:bookmarkEnd w:id="286"/>
      <w:bookmarkEnd w:id="287"/>
      <w:bookmarkEnd w:id="288"/>
      <w:bookmarkEnd w:id="289"/>
      <w:bookmarkEnd w:id="290"/>
      <w:bookmarkEnd w:id="291"/>
      <w:bookmarkEnd w:id="292"/>
      <w:bookmarkEnd w:id="293"/>
      <w:bookmarkEnd w:id="294"/>
      <w:bookmarkEnd w:id="295"/>
      <w:bookmarkEnd w:id="296"/>
    </w:p>
    <w:p>
      <w:pPr>
        <w:pStyle w:val="166"/>
        <w:ind w:left="0"/>
      </w:pPr>
      <w:r>
        <w:rPr>
          <w:rFonts w:hint="eastAsia"/>
        </w:rPr>
        <w:t>应强化机构设置与组织领导，确保管理工作有序展开。</w:t>
      </w:r>
    </w:p>
    <w:p>
      <w:pPr>
        <w:pStyle w:val="166"/>
        <w:ind w:left="0"/>
      </w:pPr>
      <w:r>
        <w:rPr>
          <w:rFonts w:hint="eastAsia"/>
        </w:rPr>
        <w:t>应建立工作机构（设置内设机构及下设机构），明确领导小组，并以文件形式明确其职责、权限和相互隶属关系。</w:t>
      </w:r>
    </w:p>
    <w:p>
      <w:pPr>
        <w:pStyle w:val="180"/>
      </w:pPr>
      <w:r>
        <w:rPr>
          <w:rFonts w:hint="eastAsia"/>
        </w:rPr>
        <w:t>工作机构的日常职责应包括但不限于平台的组织实施、日常管理、业务指导等。</w:t>
      </w:r>
    </w:p>
    <w:p>
      <w:pPr>
        <w:pStyle w:val="166"/>
        <w:ind w:left="0"/>
      </w:pPr>
      <w:r>
        <w:rPr>
          <w:rFonts w:hint="eastAsia"/>
        </w:rPr>
        <w:t>应明确纳入平台运行管理的其他成员部门，并以文件形式明确其职责职能。</w:t>
      </w:r>
    </w:p>
    <w:p>
      <w:pPr>
        <w:pStyle w:val="180"/>
      </w:pPr>
      <w:r>
        <w:rPr>
          <w:rFonts w:hint="eastAsia"/>
        </w:rPr>
        <w:t>应注意强化信息核对部门的职责。</w:t>
      </w:r>
    </w:p>
    <w:p>
      <w:pPr>
        <w:pStyle w:val="166"/>
        <w:ind w:left="0"/>
      </w:pPr>
      <w:r>
        <w:rPr>
          <w:rFonts w:hint="eastAsia"/>
        </w:rPr>
        <w:t>应明</w:t>
      </w:r>
      <w:r>
        <w:rPr>
          <w:rFonts w:hint="eastAsia"/>
          <w:color w:val="000000" w:themeColor="text1"/>
        </w:rPr>
        <w:t>确机构岗位设置与人员职责，并以文件形式明确其职责职能。</w:t>
      </w:r>
    </w:p>
    <w:p>
      <w:pPr>
        <w:pStyle w:val="106"/>
        <w:spacing w:before="156" w:after="156"/>
      </w:pPr>
      <w:bookmarkStart w:id="297" w:name="_Toc68253952"/>
      <w:bookmarkStart w:id="298" w:name="_Toc70672090"/>
      <w:bookmarkStart w:id="299" w:name="_Toc71293597"/>
      <w:bookmarkStart w:id="300" w:name="_Toc67928351"/>
      <w:bookmarkStart w:id="301" w:name="_Toc71210058"/>
      <w:bookmarkStart w:id="302" w:name="_Toc67927643"/>
      <w:bookmarkStart w:id="303" w:name="_Toc70672494"/>
      <w:bookmarkStart w:id="304" w:name="_Toc71212504"/>
      <w:bookmarkStart w:id="305" w:name="_Toc69203919"/>
      <w:bookmarkStart w:id="306" w:name="_Toc70672125"/>
      <w:bookmarkStart w:id="307" w:name="_Toc68793334"/>
      <w:bookmarkStart w:id="308" w:name="_Toc72162763"/>
      <w:r>
        <w:rPr>
          <w:rFonts w:hint="eastAsia"/>
        </w:rPr>
        <w:t>制度建设</w:t>
      </w:r>
      <w:bookmarkEnd w:id="297"/>
      <w:bookmarkEnd w:id="298"/>
      <w:bookmarkEnd w:id="299"/>
      <w:bookmarkEnd w:id="300"/>
      <w:bookmarkEnd w:id="301"/>
      <w:bookmarkEnd w:id="302"/>
      <w:bookmarkEnd w:id="303"/>
      <w:bookmarkEnd w:id="304"/>
      <w:bookmarkEnd w:id="305"/>
      <w:bookmarkEnd w:id="306"/>
      <w:bookmarkEnd w:id="307"/>
      <w:bookmarkEnd w:id="308"/>
    </w:p>
    <w:p>
      <w:pPr>
        <w:pStyle w:val="66"/>
        <w:spacing w:before="156" w:after="156"/>
      </w:pPr>
      <w:r>
        <w:rPr>
          <w:rFonts w:hint="eastAsia"/>
        </w:rPr>
        <w:t>建设原则</w:t>
      </w:r>
    </w:p>
    <w:p>
      <w:pPr>
        <w:pStyle w:val="57"/>
        <w:ind w:firstLine="420"/>
      </w:pPr>
      <w:r>
        <w:rPr>
          <w:rFonts w:hint="eastAsia"/>
        </w:rPr>
        <w:t>应强化机制创新，构建规范平台有效运行的制度体系，如信息公开制度、一门受理制度、联系会议制度、办结预警制度及资金管理机制等。</w:t>
      </w:r>
    </w:p>
    <w:p>
      <w:pPr>
        <w:pStyle w:val="66"/>
        <w:spacing w:before="156" w:after="156"/>
      </w:pPr>
      <w:r>
        <w:rPr>
          <w:rFonts w:hint="eastAsia"/>
        </w:rPr>
        <w:t>信息公开制度</w:t>
      </w:r>
    </w:p>
    <w:p>
      <w:pPr>
        <w:pStyle w:val="57"/>
        <w:ind w:firstLine="420"/>
      </w:pPr>
      <w:r>
        <w:rPr>
          <w:rFonts w:hint="eastAsia"/>
        </w:rPr>
        <w:t>应对所有救助事项按照救助依据、范围、提交材料、救助流程、救助标准和时限进行梳理汇总、分类打包，形成政策发布清单系统纳入平台统一管理，适时更新、对外公示，详见附录 C。</w:t>
      </w:r>
    </w:p>
    <w:p>
      <w:pPr>
        <w:pStyle w:val="66"/>
        <w:spacing w:before="156" w:after="156"/>
      </w:pPr>
      <w:bookmarkStart w:id="309" w:name="_Toc58571033"/>
      <w:r>
        <w:rPr>
          <w:rFonts w:hint="eastAsia"/>
        </w:rPr>
        <w:t>一门受理制度</w:t>
      </w:r>
      <w:bookmarkEnd w:id="309"/>
    </w:p>
    <w:p>
      <w:pPr>
        <w:pStyle w:val="57"/>
        <w:ind w:firstLine="420"/>
      </w:pPr>
      <w:r>
        <w:rPr>
          <w:rFonts w:hint="eastAsia"/>
        </w:rPr>
        <w:t>应通过社会救助综合服务平台优化办理流程、融合线上线下救助资源，推行困难群众从受理申请、到形成救助结果的全过程皆在一个窗口（或网上平台）只进行一次申请受理。</w:t>
      </w:r>
    </w:p>
    <w:p>
      <w:pPr>
        <w:pStyle w:val="57"/>
        <w:ind w:firstLine="420"/>
      </w:pPr>
      <w:r>
        <w:rPr>
          <w:rFonts w:hint="eastAsia"/>
        </w:rPr>
        <w:t>注：困难群众到政府办理救助事项时应申请材料齐全、符合法定受理条件。</w:t>
      </w:r>
    </w:p>
    <w:p>
      <w:pPr>
        <w:pStyle w:val="66"/>
        <w:spacing w:before="156" w:after="156"/>
      </w:pPr>
      <w:bookmarkStart w:id="310" w:name="_Toc58571034"/>
      <w:r>
        <w:rPr>
          <w:rFonts w:hint="eastAsia"/>
        </w:rPr>
        <w:t>联席会议制度</w:t>
      </w:r>
      <w:bookmarkEnd w:id="310"/>
    </w:p>
    <w:p>
      <w:pPr>
        <w:pStyle w:val="57"/>
        <w:ind w:firstLine="420"/>
      </w:pPr>
      <w:r>
        <w:rPr>
          <w:rFonts w:hint="eastAsia"/>
        </w:rPr>
        <w:t>应定期召开联系会议推进平台建设与管理。联系会议制度建设内容应包括明确机构组成、会议职责、部门职责、议事规则、工作制度等，详见附录 C。</w:t>
      </w:r>
    </w:p>
    <w:p>
      <w:pPr>
        <w:pStyle w:val="66"/>
        <w:spacing w:before="156" w:after="156"/>
      </w:pPr>
      <w:bookmarkStart w:id="311" w:name="_Toc58571035"/>
      <w:r>
        <w:rPr>
          <w:rFonts w:hint="eastAsia"/>
        </w:rPr>
        <w:t>办结预警</w:t>
      </w:r>
      <w:bookmarkEnd w:id="311"/>
      <w:r>
        <w:rPr>
          <w:rFonts w:hint="eastAsia"/>
        </w:rPr>
        <w:t>制度</w:t>
      </w:r>
    </w:p>
    <w:p>
      <w:pPr>
        <w:pStyle w:val="57"/>
        <w:ind w:firstLine="420"/>
      </w:pPr>
      <w:r>
        <w:rPr>
          <w:rFonts w:hint="eastAsia"/>
        </w:rPr>
        <w:t>应根据不同的救助事项对救助受理、核对、督办、审批、备案等各个环节规定办结时限，并在平台上进行超时预警自动化设置，凡未按时办结的进行督查责问。</w:t>
      </w:r>
    </w:p>
    <w:p>
      <w:pPr>
        <w:pStyle w:val="66"/>
        <w:spacing w:before="156" w:after="156"/>
      </w:pPr>
      <w:bookmarkStart w:id="312" w:name="_Toc58571036"/>
      <w:r>
        <w:rPr>
          <w:rFonts w:hint="eastAsia"/>
        </w:rPr>
        <w:t>资金监管机制</w:t>
      </w:r>
      <w:bookmarkEnd w:id="312"/>
    </w:p>
    <w:p>
      <w:pPr>
        <w:pStyle w:val="57"/>
        <w:ind w:firstLine="420"/>
      </w:pPr>
      <w:r>
        <w:rPr>
          <w:rFonts w:hint="eastAsia"/>
        </w:rPr>
        <w:t>救助资金审批、抽查、发放的全过程应在平台自动流转，平台宜与社保卡一卡通等对接，详见附录 C。</w:t>
      </w:r>
    </w:p>
    <w:p>
      <w:pPr>
        <w:pStyle w:val="106"/>
        <w:spacing w:before="156" w:after="156"/>
      </w:pPr>
      <w:bookmarkStart w:id="313" w:name="_Toc70672495"/>
      <w:bookmarkStart w:id="314" w:name="_Toc70672091"/>
      <w:bookmarkStart w:id="315" w:name="_Toc71293598"/>
      <w:bookmarkStart w:id="316" w:name="_Toc70672126"/>
      <w:bookmarkStart w:id="317" w:name="_Toc71210059"/>
      <w:bookmarkStart w:id="318" w:name="_Toc69203920"/>
      <w:bookmarkStart w:id="319" w:name="_Toc71212505"/>
      <w:bookmarkStart w:id="320" w:name="_Toc68793335"/>
      <w:bookmarkStart w:id="321" w:name="_Toc72162764"/>
      <w:r>
        <w:rPr>
          <w:rFonts w:hint="eastAsia"/>
        </w:rPr>
        <w:t>救助流程</w:t>
      </w:r>
      <w:bookmarkEnd w:id="313"/>
      <w:bookmarkEnd w:id="314"/>
      <w:bookmarkEnd w:id="315"/>
      <w:bookmarkEnd w:id="316"/>
      <w:bookmarkEnd w:id="317"/>
      <w:bookmarkEnd w:id="318"/>
      <w:bookmarkEnd w:id="319"/>
      <w:bookmarkEnd w:id="320"/>
      <w:bookmarkEnd w:id="321"/>
    </w:p>
    <w:p>
      <w:pPr>
        <w:pStyle w:val="66"/>
        <w:spacing w:before="156" w:after="156"/>
      </w:pPr>
      <w:r>
        <w:rPr>
          <w:rFonts w:hint="eastAsia"/>
        </w:rPr>
        <w:t>基本要求</w:t>
      </w:r>
    </w:p>
    <w:p>
      <w:pPr>
        <w:pStyle w:val="165"/>
      </w:pPr>
      <w:r>
        <w:rPr>
          <w:rFonts w:hint="eastAsia"/>
        </w:rPr>
        <w:t>主动性。应通过服务大厅、网站、移动终端、工作人员主动上门、社会主动发现等方式，多渠道受理各项社会救助业务。</w:t>
      </w:r>
    </w:p>
    <w:p>
      <w:pPr>
        <w:pStyle w:val="165"/>
      </w:pPr>
      <w:r>
        <w:rPr>
          <w:rFonts w:hint="eastAsia"/>
        </w:rPr>
        <w:t>统一性。应依托平台对救助事项进行资源整合，确保救助事项在政策依据上的统一性及唯一性。</w:t>
      </w:r>
    </w:p>
    <w:p>
      <w:pPr>
        <w:pStyle w:val="165"/>
      </w:pPr>
      <w:r>
        <w:rPr>
          <w:rFonts w:hint="eastAsia"/>
        </w:rPr>
        <w:t>兼顾性。宜依托平台实现救助过程全流程信息化，规范现有线下环节逐步向线上延伸。</w:t>
      </w:r>
    </w:p>
    <w:p>
      <w:pPr>
        <w:pStyle w:val="180"/>
      </w:pPr>
      <w:r>
        <w:rPr>
          <w:rFonts w:hint="eastAsia"/>
        </w:rPr>
        <w:t>目前乡镇（街道）窗口受理、村（社区）评议等环节多依托线下办理。</w:t>
      </w:r>
    </w:p>
    <w:p>
      <w:pPr>
        <w:pStyle w:val="165"/>
      </w:pPr>
      <w:r>
        <w:rPr>
          <w:rFonts w:hint="eastAsia"/>
        </w:rPr>
        <w:t xml:space="preserve">广泛性。应保证低保、特困等基本救助事项的有效运行，宜鼓励更多社会救助力量提供的救助事项在平台运行。 </w:t>
      </w:r>
    </w:p>
    <w:p>
      <w:pPr>
        <w:pStyle w:val="66"/>
        <w:spacing w:before="156" w:after="156"/>
      </w:pPr>
      <w:r>
        <w:rPr>
          <w:rFonts w:hint="eastAsia"/>
        </w:rPr>
        <w:t>过程要求</w:t>
      </w:r>
    </w:p>
    <w:p>
      <w:pPr>
        <w:pStyle w:val="165"/>
      </w:pPr>
      <w:r>
        <w:rPr>
          <w:rFonts w:hint="eastAsia"/>
        </w:rPr>
        <w:t>应建立主动发现机制，明确低收入人群对象信息采集的采集内容及采集方式等。</w:t>
      </w:r>
    </w:p>
    <w:p>
      <w:pPr>
        <w:pStyle w:val="165"/>
      </w:pPr>
      <w:r>
        <w:rPr>
          <w:rFonts w:hint="eastAsia"/>
        </w:rPr>
        <w:t>应多渠道宣传平台救助政策及申请信息，鼓励救助对象使用信息化终端完成线上申请，</w:t>
      </w:r>
    </w:p>
    <w:p>
      <w:pPr>
        <w:pStyle w:val="165"/>
      </w:pPr>
      <w:r>
        <w:rPr>
          <w:rFonts w:hint="eastAsia"/>
        </w:rPr>
        <w:t>建立救助事项“一门受理、协同办理”分级管理机制，对现有救助事项的业务流程进行梳理优化，各级社会救助管理部门权限清晰、业务流程（环节）间功能衔接明确。</w:t>
      </w:r>
    </w:p>
    <w:p>
      <w:pPr>
        <w:pStyle w:val="165"/>
        <w:rPr>
          <w:color w:val="000000" w:themeColor="text1"/>
        </w:rPr>
      </w:pPr>
      <w:r>
        <w:rPr>
          <w:rFonts w:hint="eastAsia"/>
        </w:rPr>
        <w:t>应建立各项救助政策网络管理、审批机制。按照</w:t>
      </w:r>
      <w:r>
        <w:rPr>
          <w:rFonts w:hint="eastAsia"/>
          <w:color w:val="000000" w:themeColor="text1"/>
        </w:rPr>
        <w:t>“申请、核对、认定、救助”的基本思路设置救助事项在平台上的流转程序，实现自动流程、协同办理。</w:t>
      </w:r>
    </w:p>
    <w:p>
      <w:pPr>
        <w:pStyle w:val="181"/>
      </w:pPr>
      <w:r>
        <w:rPr>
          <w:rFonts w:hint="eastAsia"/>
        </w:rPr>
        <w:t>根据救助事项的具体根据政策等不同，平台救助流程有所差异。</w:t>
      </w:r>
    </w:p>
    <w:p>
      <w:pPr>
        <w:pStyle w:val="165"/>
      </w:pPr>
      <w:r>
        <w:rPr>
          <w:rFonts w:hint="eastAsia"/>
        </w:rPr>
        <w:t>应及时将窗口接件的纸质材料电子化，通过平台系统实时流转，实现救助事项实时承办、转办。</w:t>
      </w:r>
    </w:p>
    <w:p>
      <w:pPr>
        <w:pStyle w:val="180"/>
      </w:pPr>
      <w:r>
        <w:rPr>
          <w:rFonts w:hint="eastAsia"/>
        </w:rPr>
        <w:t>纸质材料按需转交业务部门，并做好材料交接签收。</w:t>
      </w:r>
    </w:p>
    <w:p>
      <w:pPr>
        <w:pStyle w:val="165"/>
      </w:pPr>
      <w:r>
        <w:rPr>
          <w:rFonts w:hint="eastAsia"/>
        </w:rPr>
        <w:t>申请救助对象的居民家庭经济状况进行核对，核对报告生成等各项工作规范应按民政部相关行业标准执行。</w:t>
      </w:r>
    </w:p>
    <w:p>
      <w:pPr>
        <w:pStyle w:val="165"/>
      </w:pPr>
      <w:r>
        <w:rPr>
          <w:rFonts w:hint="eastAsia"/>
        </w:rPr>
        <w:t>应支持对救助服务过程全程留痕，与电子签章系统与身份认证网关有机衔接。每项救助（审批）操作记录到人、落实到人，为各级监管部门监督人员提供工作参考。</w:t>
      </w:r>
    </w:p>
    <w:p>
      <w:pPr>
        <w:pStyle w:val="165"/>
        <w:rPr>
          <w:color w:val="FF0000"/>
        </w:rPr>
      </w:pPr>
      <w:r>
        <w:rPr>
          <w:rFonts w:hint="eastAsia"/>
        </w:rPr>
        <w:t>救助资金发放应与一卡通工作等有效衔接</w:t>
      </w:r>
      <w:r>
        <w:rPr>
          <w:rFonts w:hint="eastAsia"/>
          <w:color w:val="000000" w:themeColor="text1"/>
        </w:rPr>
        <w:t>。</w:t>
      </w:r>
    </w:p>
    <w:p>
      <w:pPr>
        <w:pStyle w:val="106"/>
        <w:spacing w:before="156" w:after="156"/>
      </w:pPr>
      <w:bookmarkStart w:id="322" w:name="_Toc67927645"/>
      <w:bookmarkStart w:id="323" w:name="_Toc68253954"/>
      <w:bookmarkStart w:id="324" w:name="_Toc67928353"/>
      <w:bookmarkStart w:id="325" w:name="_Toc58571494"/>
      <w:bookmarkStart w:id="326" w:name="_Toc58571048"/>
      <w:bookmarkStart w:id="327" w:name="_Toc70672496"/>
      <w:bookmarkStart w:id="328" w:name="_Toc71212506"/>
      <w:bookmarkStart w:id="329" w:name="_Toc68793336"/>
      <w:bookmarkStart w:id="330" w:name="_Toc70672092"/>
      <w:bookmarkStart w:id="331" w:name="_Toc70672127"/>
      <w:bookmarkStart w:id="332" w:name="_Toc71293599"/>
      <w:bookmarkStart w:id="333" w:name="_Toc71210060"/>
      <w:bookmarkStart w:id="334" w:name="_Toc69203921"/>
      <w:bookmarkStart w:id="335" w:name="_Toc72162765"/>
      <w:r>
        <w:rPr>
          <w:rFonts w:hint="eastAsia"/>
        </w:rPr>
        <w:t>监督检查</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66"/>
        <w:spacing w:before="156" w:after="156"/>
      </w:pPr>
      <w:bookmarkStart w:id="336" w:name="_Toc58571049"/>
      <w:r>
        <w:rPr>
          <w:rFonts w:hint="eastAsia"/>
        </w:rPr>
        <w:t>基本要求</w:t>
      </w:r>
      <w:bookmarkEnd w:id="336"/>
    </w:p>
    <w:p>
      <w:pPr>
        <w:pStyle w:val="165"/>
      </w:pPr>
      <w:r>
        <w:rPr>
          <w:rFonts w:hint="eastAsia"/>
        </w:rPr>
        <w:t>应充分利用大数据、云计算等信息化手段，加强平台数据资源的分析研判功能建设，探索新模式下的智慧监管方式。</w:t>
      </w:r>
    </w:p>
    <w:p>
      <w:pPr>
        <w:pStyle w:val="165"/>
      </w:pPr>
      <w:r>
        <w:rPr>
          <w:rFonts w:hint="eastAsia"/>
        </w:rPr>
        <w:t>应充分发挥纪检监察部门的监督作用，依托平台功能模块的设置实现对救助事项全过程的的同步电子监察。</w:t>
      </w:r>
    </w:p>
    <w:p>
      <w:pPr>
        <w:pStyle w:val="66"/>
        <w:spacing w:before="156" w:after="156"/>
      </w:pPr>
      <w:bookmarkStart w:id="337" w:name="_Toc58571050"/>
      <w:bookmarkStart w:id="338" w:name="_Toc68253955"/>
      <w:bookmarkStart w:id="339" w:name="_Toc67928354"/>
      <w:bookmarkStart w:id="340" w:name="_Toc68793337"/>
      <w:bookmarkStart w:id="341" w:name="_Toc67927646"/>
      <w:r>
        <w:rPr>
          <w:rFonts w:hint="eastAsia"/>
        </w:rPr>
        <w:t>监督方式</w:t>
      </w:r>
      <w:bookmarkEnd w:id="337"/>
      <w:bookmarkEnd w:id="338"/>
      <w:bookmarkEnd w:id="339"/>
      <w:bookmarkEnd w:id="340"/>
      <w:bookmarkEnd w:id="341"/>
    </w:p>
    <w:p>
      <w:pPr>
        <w:pStyle w:val="165"/>
      </w:pPr>
      <w:bookmarkStart w:id="342" w:name="_Toc67927647"/>
      <w:bookmarkStart w:id="343" w:name="_Toc67928355"/>
      <w:bookmarkStart w:id="344" w:name="_Toc68253956"/>
      <w:bookmarkStart w:id="345" w:name="_Toc68793338"/>
      <w:r>
        <w:rPr>
          <w:rFonts w:hint="eastAsia"/>
        </w:rPr>
        <w:t>根据监督主体的不同，可将监察方式分为：社会监督与行政监督。</w:t>
      </w:r>
    </w:p>
    <w:p>
      <w:pPr>
        <w:pStyle w:val="165"/>
      </w:pPr>
      <w:r>
        <w:rPr>
          <w:rFonts w:hint="eastAsia"/>
        </w:rPr>
        <w:t>社会监督。所有救助对象发生的救助情况都应在中心门户网站及微信公众号进行长期公示。应建立投诉渠道，如设立举报电话，设立投诉信箱并对外公布等；对来信、来访、投诉、举报及时查处和移交至纪委监察部门。</w:t>
      </w:r>
    </w:p>
    <w:p>
      <w:pPr>
        <w:pStyle w:val="165"/>
        <w:rPr>
          <w:rFonts w:ascii="黑体" w:eastAsia="黑体"/>
        </w:rPr>
      </w:pPr>
      <w:r>
        <w:rPr>
          <w:rFonts w:hint="eastAsia"/>
        </w:rPr>
        <w:t>行政监督。纪委监察部门应会同联席会议领导小组对平台运行情况进行定期（或不定期）的现场巡查或电子监察。</w:t>
      </w:r>
    </w:p>
    <w:p>
      <w:pPr>
        <w:pStyle w:val="66"/>
        <w:spacing w:before="156" w:after="156"/>
      </w:pPr>
      <w:r>
        <w:rPr>
          <w:rFonts w:hint="eastAsia"/>
        </w:rPr>
        <w:t>监督内容</w:t>
      </w:r>
      <w:bookmarkEnd w:id="342"/>
      <w:bookmarkEnd w:id="343"/>
      <w:bookmarkEnd w:id="344"/>
      <w:bookmarkEnd w:id="345"/>
    </w:p>
    <w:p>
      <w:pPr>
        <w:pStyle w:val="57"/>
        <w:ind w:firstLine="420"/>
      </w:pPr>
      <w:r>
        <w:rPr>
          <w:rFonts w:hint="eastAsia"/>
        </w:rPr>
        <w:t>监督内容包括但不限于以下内容：</w:t>
      </w:r>
    </w:p>
    <w:p>
      <w:pPr>
        <w:pStyle w:val="175"/>
        <w:numPr>
          <w:ilvl w:val="0"/>
          <w:numId w:val="32"/>
        </w:numPr>
      </w:pPr>
      <w:r>
        <w:rPr>
          <w:rFonts w:hint="eastAsia"/>
        </w:rPr>
        <w:t>救助工作中违规、超时、线下救助的查处及责任追究情况；</w:t>
      </w:r>
    </w:p>
    <w:p>
      <w:pPr>
        <w:pStyle w:val="175"/>
      </w:pPr>
      <w:r>
        <w:rPr>
          <w:rFonts w:hint="eastAsia"/>
        </w:rPr>
        <w:t>社会救助资金“一卡通”发放政策执行情况；</w:t>
      </w:r>
    </w:p>
    <w:p>
      <w:pPr>
        <w:pStyle w:val="175"/>
      </w:pPr>
      <w:r>
        <w:rPr>
          <w:rFonts w:hint="eastAsia"/>
        </w:rPr>
        <w:t>违法违纪的举报处理情况。</w:t>
      </w:r>
    </w:p>
    <w:p>
      <w:pPr>
        <w:pStyle w:val="175"/>
        <w:numPr>
          <w:ilvl w:val="0"/>
          <w:numId w:val="0"/>
        </w:numPr>
        <w:ind w:left="851"/>
      </w:pPr>
    </w:p>
    <w:p>
      <w:pPr>
        <w:pStyle w:val="175"/>
        <w:numPr>
          <w:ilvl w:val="0"/>
          <w:numId w:val="0"/>
        </w:numPr>
        <w:ind w:left="851"/>
      </w:pPr>
    </w:p>
    <w:p>
      <w:pPr>
        <w:pStyle w:val="175"/>
        <w:numPr>
          <w:ilvl w:val="0"/>
          <w:numId w:val="0"/>
        </w:numPr>
        <w:ind w:left="851"/>
      </w:pPr>
    </w:p>
    <w:p>
      <w:pPr>
        <w:pStyle w:val="175"/>
        <w:numPr>
          <w:ilvl w:val="0"/>
          <w:numId w:val="0"/>
        </w:numPr>
        <w:ind w:left="851"/>
      </w:pPr>
    </w:p>
    <w:p>
      <w:pPr>
        <w:pStyle w:val="175"/>
        <w:numPr>
          <w:ilvl w:val="0"/>
          <w:numId w:val="0"/>
        </w:numPr>
        <w:ind w:left="851"/>
      </w:pPr>
    </w:p>
    <w:p>
      <w:pPr>
        <w:pStyle w:val="175"/>
        <w:numPr>
          <w:ilvl w:val="0"/>
          <w:numId w:val="0"/>
        </w:numPr>
        <w:ind w:left="851"/>
      </w:pPr>
    </w:p>
    <w:p>
      <w:pPr>
        <w:pStyle w:val="175"/>
        <w:numPr>
          <w:ilvl w:val="0"/>
          <w:numId w:val="0"/>
        </w:numPr>
        <w:ind w:left="851"/>
      </w:pPr>
    </w:p>
    <w:p>
      <w:pPr>
        <w:pStyle w:val="175"/>
        <w:numPr>
          <w:ilvl w:val="0"/>
          <w:numId w:val="0"/>
        </w:numPr>
        <w:ind w:left="851"/>
      </w:pPr>
    </w:p>
    <w:p>
      <w:pPr>
        <w:pStyle w:val="175"/>
        <w:numPr>
          <w:ilvl w:val="0"/>
          <w:numId w:val="0"/>
        </w:numPr>
        <w:ind w:left="851"/>
      </w:pPr>
    </w:p>
    <w:p>
      <w:pPr>
        <w:pStyle w:val="175"/>
        <w:numPr>
          <w:ilvl w:val="0"/>
          <w:numId w:val="0"/>
        </w:numPr>
        <w:ind w:left="851"/>
      </w:pPr>
    </w:p>
    <w:p>
      <w:pPr>
        <w:pStyle w:val="175"/>
        <w:numPr>
          <w:ilvl w:val="0"/>
          <w:numId w:val="0"/>
        </w:numPr>
        <w:ind w:left="851"/>
      </w:pPr>
    </w:p>
    <w:p>
      <w:pPr>
        <w:pStyle w:val="175"/>
        <w:numPr>
          <w:ilvl w:val="0"/>
          <w:numId w:val="0"/>
        </w:numPr>
        <w:ind w:left="851"/>
      </w:pPr>
    </w:p>
    <w:p>
      <w:pPr>
        <w:pStyle w:val="175"/>
        <w:numPr>
          <w:ilvl w:val="0"/>
          <w:numId w:val="0"/>
        </w:numPr>
        <w:ind w:left="851"/>
      </w:pPr>
    </w:p>
    <w:p>
      <w:pPr>
        <w:pStyle w:val="175"/>
        <w:numPr>
          <w:ilvl w:val="0"/>
          <w:numId w:val="0"/>
        </w:numPr>
        <w:ind w:left="851"/>
      </w:pPr>
    </w:p>
    <w:p>
      <w:pPr>
        <w:pStyle w:val="175"/>
        <w:numPr>
          <w:ilvl w:val="0"/>
          <w:numId w:val="0"/>
        </w:numPr>
        <w:ind w:left="851"/>
      </w:pPr>
    </w:p>
    <w:p>
      <w:pPr>
        <w:pStyle w:val="175"/>
        <w:numPr>
          <w:ilvl w:val="0"/>
          <w:numId w:val="0"/>
        </w:numPr>
        <w:ind w:left="851"/>
      </w:pPr>
    </w:p>
    <w:p>
      <w:pPr>
        <w:pStyle w:val="175"/>
        <w:numPr>
          <w:ilvl w:val="0"/>
          <w:numId w:val="0"/>
        </w:numPr>
        <w:ind w:left="851"/>
      </w:pPr>
    </w:p>
    <w:p>
      <w:pPr>
        <w:pStyle w:val="175"/>
        <w:numPr>
          <w:ilvl w:val="0"/>
          <w:numId w:val="0"/>
        </w:numPr>
        <w:ind w:left="851"/>
      </w:pPr>
    </w:p>
    <w:p>
      <w:pPr>
        <w:pStyle w:val="175"/>
        <w:numPr>
          <w:ilvl w:val="0"/>
          <w:numId w:val="0"/>
        </w:numPr>
      </w:pPr>
    </w:p>
    <w:p>
      <w:pPr>
        <w:pStyle w:val="175"/>
        <w:numPr>
          <w:ilvl w:val="0"/>
          <w:numId w:val="0"/>
        </w:numPr>
      </w:pPr>
    </w:p>
    <w:p>
      <w:pPr>
        <w:pStyle w:val="57"/>
        <w:ind w:firstLine="420"/>
        <w:sectPr>
          <w:headerReference r:id="rId13" w:type="default"/>
          <w:footerReference r:id="rId15" w:type="default"/>
          <w:headerReference r:id="rId14" w:type="even"/>
          <w:footerReference r:id="rId16" w:type="even"/>
          <w:pgSz w:w="11906" w:h="16838"/>
          <w:pgMar w:top="1871" w:right="1134" w:bottom="1134" w:left="1134" w:header="1418" w:footer="1134" w:gutter="284"/>
          <w:cols w:space="425" w:num="1"/>
          <w:formProt w:val="0"/>
          <w:docGrid w:type="lines" w:linePitch="312" w:charSpace="0"/>
        </w:sectPr>
      </w:pPr>
    </w:p>
    <w:bookmarkEnd w:id="31"/>
    <w:p>
      <w:pPr>
        <w:pStyle w:val="199"/>
      </w:pPr>
      <w:bookmarkStart w:id="346" w:name="BookMark5"/>
    </w:p>
    <w:p>
      <w:pPr>
        <w:pStyle w:val="200"/>
      </w:pPr>
    </w:p>
    <w:p>
      <w:pPr>
        <w:pStyle w:val="77"/>
        <w:spacing w:before="78" w:after="156"/>
      </w:pPr>
      <w:r>
        <w:br w:type="textWrapping"/>
      </w:r>
      <w:bookmarkStart w:id="347" w:name="_Toc71210061"/>
      <w:bookmarkStart w:id="348" w:name="_Toc70672093"/>
      <w:bookmarkStart w:id="349" w:name="_Toc71212507"/>
      <w:bookmarkStart w:id="350" w:name="_Toc71293600"/>
      <w:bookmarkStart w:id="351" w:name="_Toc70672497"/>
      <w:bookmarkStart w:id="352" w:name="_Toc70672128"/>
      <w:bookmarkStart w:id="353" w:name="_Toc68793339"/>
      <w:bookmarkStart w:id="354" w:name="_Toc69203922"/>
      <w:bookmarkStart w:id="355" w:name="_Toc72162766"/>
      <w:r>
        <w:rPr>
          <w:rFonts w:hint="eastAsia"/>
        </w:rPr>
        <w:t>（资料性）</w:t>
      </w:r>
      <w:r>
        <w:br w:type="textWrapping"/>
      </w:r>
      <w:r>
        <w:rPr>
          <w:rFonts w:hint="eastAsia"/>
        </w:rPr>
        <w:t>数据库建设示例</w:t>
      </w:r>
      <w:bookmarkEnd w:id="347"/>
      <w:bookmarkEnd w:id="348"/>
      <w:bookmarkEnd w:id="349"/>
      <w:bookmarkEnd w:id="350"/>
      <w:bookmarkEnd w:id="351"/>
      <w:bookmarkEnd w:id="352"/>
      <w:bookmarkEnd w:id="353"/>
      <w:bookmarkEnd w:id="354"/>
      <w:bookmarkEnd w:id="355"/>
    </w:p>
    <w:p>
      <w:pPr>
        <w:pStyle w:val="79"/>
        <w:spacing w:before="156" w:after="156"/>
        <w:rPr>
          <w:color w:val="000000" w:themeColor="text1"/>
        </w:rPr>
      </w:pPr>
      <w:bookmarkStart w:id="356" w:name="_Toc68793340"/>
      <w:bookmarkStart w:id="357" w:name="_Toc69203923"/>
      <w:bookmarkStart w:id="358" w:name="_Toc71210062"/>
      <w:bookmarkStart w:id="359" w:name="_Toc70672094"/>
      <w:bookmarkStart w:id="360" w:name="_Toc71293601"/>
      <w:bookmarkStart w:id="361" w:name="_Toc71212508"/>
      <w:bookmarkStart w:id="362" w:name="_Toc70672129"/>
      <w:bookmarkStart w:id="363" w:name="_Toc70672498"/>
      <w:bookmarkStart w:id="364" w:name="_Toc72162767"/>
      <w:r>
        <w:rPr>
          <w:rFonts w:hint="eastAsia"/>
        </w:rPr>
        <w:t>数据库</w:t>
      </w:r>
      <w:bookmarkEnd w:id="356"/>
      <w:bookmarkEnd w:id="357"/>
      <w:r>
        <w:rPr>
          <w:rFonts w:hint="eastAsia"/>
        </w:rPr>
        <w:t>架构</w:t>
      </w:r>
      <w:bookmarkEnd w:id="358"/>
      <w:bookmarkEnd w:id="359"/>
      <w:bookmarkEnd w:id="360"/>
      <w:bookmarkEnd w:id="361"/>
      <w:bookmarkEnd w:id="362"/>
      <w:bookmarkEnd w:id="363"/>
      <w:bookmarkEnd w:id="364"/>
    </w:p>
    <w:p>
      <w:pPr>
        <w:pStyle w:val="57"/>
        <w:ind w:firstLine="420"/>
      </w:pPr>
      <w:r>
        <w:rPr>
          <w:rFonts w:hint="eastAsia"/>
          <w:color w:val="000000" w:themeColor="text1"/>
        </w:rPr>
        <w:t>数据中心（数据资源层）根据数据库类型可划分为多个逻辑数据库，</w:t>
      </w:r>
      <w:r>
        <w:rPr>
          <w:rFonts w:hint="eastAsia"/>
        </w:rPr>
        <w:t xml:space="preserve">在实际应用中可以将一个逻辑数据库由一个或者多个的物理数据库组成。建设示例详见图A.1。 </w:t>
      </w:r>
    </w:p>
    <w:tbl>
      <w:tblPr>
        <w:tblStyle w:val="28"/>
        <w:tblW w:w="0" w:type="auto"/>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0" w:type="dxa"/>
          <w:left w:w="0" w:type="dxa"/>
          <w:bottom w:w="0" w:type="dxa"/>
          <w:right w:w="0" w:type="dxa"/>
        </w:tblCellMar>
      </w:tblPr>
      <w:tblGrid>
        <w:gridCol w:w="9374"/>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3926" w:hRule="atLeast"/>
          <w:tblHeader/>
          <w:jc w:val="center"/>
        </w:trPr>
        <w:tc>
          <w:tcPr>
            <w:tcW w:w="9570" w:type="dxa"/>
            <w:shd w:val="clear" w:color="auto" w:fill="auto"/>
            <w:vAlign w:val="center"/>
          </w:tcPr>
          <w:p>
            <w:pPr>
              <w:pStyle w:val="179"/>
            </w:pPr>
            <w:r>
              <w:object>
                <v:shape id="_x0000_i1026" o:spt="75" type="#_x0000_t75" style="height:222.75pt;width:468pt;" o:ole="t" filled="f" o:preferrelative="t" stroked="f" coordsize="21600,21600">
                  <v:path/>
                  <v:fill on="f" focussize="0,0"/>
                  <v:stroke on="f" joinstyle="miter"/>
                  <v:imagedata r:id="rId22" o:title=""/>
                  <o:lock v:ext="edit" aspectratio="t"/>
                  <w10:wrap type="none"/>
                  <w10:anchorlock/>
                </v:shape>
                <o:OLEObject Type="Embed" ProgID="Visio.Drawing.11" ShapeID="_x0000_i1026" DrawAspect="Content" ObjectID="_1468075726" r:id="rId21">
                  <o:LockedField>false</o:LockedField>
                </o:OLEObject>
              </w:object>
            </w:r>
          </w:p>
        </w:tc>
      </w:tr>
    </w:tbl>
    <w:p>
      <w:pPr>
        <w:pStyle w:val="84"/>
        <w:spacing w:before="156" w:after="156"/>
      </w:pPr>
      <w:r>
        <w:rPr>
          <w:rFonts w:hint="eastAsia"/>
        </w:rPr>
        <w:t>数据库建设实例</w:t>
      </w:r>
    </w:p>
    <w:p>
      <w:pPr>
        <w:pStyle w:val="79"/>
        <w:spacing w:before="156" w:after="156"/>
      </w:pPr>
      <w:bookmarkStart w:id="365" w:name="_Toc68793341"/>
      <w:bookmarkStart w:id="366" w:name="_Toc70672095"/>
      <w:bookmarkStart w:id="367" w:name="_Toc70672130"/>
      <w:bookmarkStart w:id="368" w:name="_Toc69203924"/>
      <w:bookmarkStart w:id="369" w:name="_Toc71293602"/>
      <w:bookmarkStart w:id="370" w:name="_Toc71210063"/>
      <w:bookmarkStart w:id="371" w:name="_Toc70672499"/>
      <w:bookmarkStart w:id="372" w:name="_Toc71212509"/>
      <w:bookmarkStart w:id="373" w:name="_Toc72162768"/>
      <w:r>
        <w:rPr>
          <w:rFonts w:hint="eastAsia"/>
        </w:rPr>
        <w:t>基础信息数据库</w:t>
      </w:r>
      <w:bookmarkEnd w:id="365"/>
      <w:bookmarkEnd w:id="366"/>
      <w:bookmarkEnd w:id="367"/>
      <w:bookmarkEnd w:id="368"/>
      <w:bookmarkEnd w:id="369"/>
      <w:bookmarkEnd w:id="370"/>
      <w:bookmarkEnd w:id="371"/>
      <w:bookmarkEnd w:id="372"/>
      <w:bookmarkEnd w:id="373"/>
    </w:p>
    <w:p>
      <w:pPr>
        <w:widowControl/>
        <w:autoSpaceDE w:val="0"/>
        <w:autoSpaceDN w:val="0"/>
        <w:adjustRightInd/>
        <w:spacing w:line="240" w:lineRule="auto"/>
        <w:ind w:firstLine="420" w:firstLineChars="200"/>
      </w:pPr>
      <w:r>
        <w:rPr>
          <w:rFonts w:hint="eastAsia" w:ascii="宋体" w:hAnsi="Times New Roman"/>
          <w:kern w:val="0"/>
          <w:szCs w:val="20"/>
        </w:rPr>
        <w:t>基础信息数据库是以行政区划编码和公民有效身份号码为标识的基础库，包括行政区划编码、行政区划名称、人口身份信息、户籍信息、健康状况、家庭成员关系等民政部居民家庭经济状况核对标准、统一使用的基础核对数据。</w:t>
      </w:r>
    </w:p>
    <w:p>
      <w:pPr>
        <w:pStyle w:val="79"/>
        <w:spacing w:before="156" w:after="156"/>
        <w:rPr>
          <w:kern w:val="0"/>
        </w:rPr>
      </w:pPr>
      <w:bookmarkStart w:id="374" w:name="_Toc71210064"/>
      <w:bookmarkStart w:id="375" w:name="_Toc71293603"/>
      <w:bookmarkStart w:id="376" w:name="_Toc70672131"/>
      <w:bookmarkStart w:id="377" w:name="_Toc68793342"/>
      <w:bookmarkStart w:id="378" w:name="_Toc71212510"/>
      <w:bookmarkStart w:id="379" w:name="_Toc70672096"/>
      <w:bookmarkStart w:id="380" w:name="_Toc69203925"/>
      <w:bookmarkStart w:id="381" w:name="_Toc70672500"/>
      <w:bookmarkStart w:id="382" w:name="_Toc72162769"/>
      <w:r>
        <w:rPr>
          <w:rFonts w:hint="eastAsia"/>
          <w:kern w:val="0"/>
        </w:rPr>
        <w:t>数据交换信息库</w:t>
      </w:r>
      <w:bookmarkEnd w:id="374"/>
      <w:bookmarkEnd w:id="375"/>
      <w:bookmarkEnd w:id="376"/>
      <w:bookmarkEnd w:id="377"/>
      <w:bookmarkEnd w:id="378"/>
      <w:bookmarkEnd w:id="379"/>
      <w:bookmarkEnd w:id="380"/>
      <w:bookmarkEnd w:id="381"/>
      <w:bookmarkEnd w:id="382"/>
    </w:p>
    <w:p>
      <w:pPr>
        <w:pStyle w:val="57"/>
        <w:ind w:firstLine="420"/>
      </w:pPr>
      <w:r>
        <w:rPr>
          <w:rFonts w:hint="eastAsia"/>
        </w:rPr>
        <w:t>数据交换库用于存</w:t>
      </w:r>
      <w:r>
        <w:rPr>
          <w:rFonts w:hint="eastAsia"/>
          <w:color w:val="000000" w:themeColor="text1"/>
        </w:rPr>
        <w:t>放各级核对机构核对业务的横向/纵向</w:t>
      </w:r>
      <w:r>
        <w:rPr>
          <w:rFonts w:hint="eastAsia"/>
        </w:rPr>
        <w:t>交换数据，并将各类交换数据进行梳理，形成交换标准数据。具体是指上下级核对机构以及核对委托单位、信息共享单位之间的业务流转与数据交换区，对有交换共享需求的居民经济数据及相关数据进行存储和管理。区域内部逻辑上可分为共享库与交换库两部分，共享库用于存放为其他单位共享的数据，交换库用于存放从其他单位获取的数据。</w:t>
      </w:r>
    </w:p>
    <w:p>
      <w:pPr>
        <w:pStyle w:val="79"/>
        <w:spacing w:before="156" w:after="156"/>
        <w:rPr>
          <w:kern w:val="0"/>
        </w:rPr>
      </w:pPr>
      <w:bookmarkStart w:id="383" w:name="_Toc70672097"/>
      <w:bookmarkStart w:id="384" w:name="_Toc71212511"/>
      <w:bookmarkStart w:id="385" w:name="_Toc68793343"/>
      <w:bookmarkStart w:id="386" w:name="_Toc70672132"/>
      <w:bookmarkStart w:id="387" w:name="_Toc70672501"/>
      <w:bookmarkStart w:id="388" w:name="_Toc71210065"/>
      <w:bookmarkStart w:id="389" w:name="_Toc69203926"/>
      <w:bookmarkStart w:id="390" w:name="_Toc71293604"/>
      <w:bookmarkStart w:id="391" w:name="_Toc72162770"/>
      <w:r>
        <w:rPr>
          <w:rFonts w:hint="eastAsia"/>
          <w:kern w:val="0"/>
        </w:rPr>
        <w:t>业务生产数据库</w:t>
      </w:r>
      <w:bookmarkEnd w:id="383"/>
      <w:bookmarkEnd w:id="384"/>
      <w:bookmarkEnd w:id="385"/>
      <w:bookmarkEnd w:id="386"/>
      <w:bookmarkEnd w:id="387"/>
      <w:bookmarkEnd w:id="388"/>
      <w:bookmarkEnd w:id="389"/>
      <w:bookmarkEnd w:id="390"/>
      <w:bookmarkEnd w:id="391"/>
    </w:p>
    <w:p>
      <w:pPr>
        <w:widowControl/>
        <w:autoSpaceDE w:val="0"/>
        <w:autoSpaceDN w:val="0"/>
        <w:adjustRightInd/>
        <w:spacing w:line="240" w:lineRule="auto"/>
        <w:ind w:firstLine="420" w:firstLineChars="200"/>
      </w:pPr>
      <w:r>
        <w:rPr>
          <w:rFonts w:hint="eastAsia" w:ascii="宋体" w:hAnsi="Times New Roman"/>
          <w:kern w:val="0"/>
          <w:szCs w:val="20"/>
        </w:rPr>
        <w:t>业务生产数据库是前台业务处理的核心、完成数据采集、业务办理和历史数据的存储，存放平台存放审核、审批一门受理数据、核对机构以及共享单位交换数据等工作日常业务操作产生的业务数据。业务数据的存放应根据业务领域进行整理和归类，并严格控制访问权限，保证各级业务系统的数据存储安全性。业务生产数据支撑数据交换信息库信息，数据</w:t>
      </w:r>
      <w:r>
        <w:rPr>
          <w:rFonts w:hint="eastAsia"/>
        </w:rPr>
        <w:t>交换共享库与业务生产库逻辑分离，其数据主要来源于生产业务库。</w:t>
      </w:r>
    </w:p>
    <w:p>
      <w:pPr>
        <w:pStyle w:val="79"/>
        <w:spacing w:before="156" w:after="156"/>
        <w:rPr>
          <w:color w:val="000000" w:themeColor="text1"/>
        </w:rPr>
      </w:pPr>
      <w:bookmarkStart w:id="392" w:name="_Toc70672133"/>
      <w:bookmarkStart w:id="393" w:name="_Toc70672502"/>
      <w:bookmarkStart w:id="394" w:name="_Toc70672098"/>
      <w:bookmarkStart w:id="395" w:name="_Toc71210066"/>
      <w:bookmarkStart w:id="396" w:name="_Toc71212512"/>
      <w:bookmarkStart w:id="397" w:name="_Toc71293605"/>
      <w:bookmarkStart w:id="398" w:name="_Toc72162771"/>
      <w:r>
        <w:rPr>
          <w:rFonts w:hint="eastAsia"/>
          <w:color w:val="000000" w:themeColor="text1"/>
        </w:rPr>
        <w:t>信息资源分析库</w:t>
      </w:r>
      <w:bookmarkEnd w:id="392"/>
      <w:bookmarkEnd w:id="393"/>
      <w:bookmarkEnd w:id="394"/>
      <w:bookmarkEnd w:id="395"/>
      <w:bookmarkEnd w:id="396"/>
      <w:bookmarkEnd w:id="397"/>
      <w:bookmarkEnd w:id="398"/>
    </w:p>
    <w:p>
      <w:pPr>
        <w:pStyle w:val="57"/>
        <w:ind w:firstLine="420"/>
      </w:pPr>
      <w:r>
        <w:rPr>
          <w:rFonts w:hint="eastAsia"/>
        </w:rPr>
        <w:t>信息资源分析库存储各种主题数据，生成可以展示的数据库。其主题数据来源是从基础信息数据库、数据交换信息库及业务生产数据库中抽样、提取、统计、汇总生成的各类数据，以及从相关部门获取的数据等。其功能主要通过数据抽取、数据清洗、数据转换、分析模型进行数据的整理和汇总，为深入分析和辅助决策提供数据支撑</w:t>
      </w:r>
      <w:bookmarkStart w:id="399" w:name="_Toc68793345"/>
      <w:bookmarkStart w:id="400" w:name="_Toc69203928"/>
      <w:r>
        <w:rPr>
          <w:rFonts w:hint="eastAsia"/>
        </w:rPr>
        <w:t>。</w:t>
      </w:r>
    </w:p>
    <w:bookmarkEnd w:id="399"/>
    <w:bookmarkEnd w:id="400"/>
    <w:p>
      <w:pPr>
        <w:pStyle w:val="57"/>
        <w:ind w:firstLine="0" w:firstLineChars="0"/>
      </w:pPr>
    </w:p>
    <w:p>
      <w:pPr>
        <w:pStyle w:val="57"/>
        <w:ind w:firstLine="0" w:firstLineChars="0"/>
      </w:pPr>
    </w:p>
    <w:p>
      <w:pPr>
        <w:pStyle w:val="57"/>
        <w:ind w:firstLine="0" w:firstLineChars="0"/>
      </w:pPr>
    </w:p>
    <w:p>
      <w:pPr>
        <w:pStyle w:val="57"/>
        <w:ind w:firstLine="0" w:firstLineChars="0"/>
      </w:pPr>
    </w:p>
    <w:p>
      <w:pPr>
        <w:pStyle w:val="57"/>
        <w:ind w:firstLine="0" w:firstLineChars="0"/>
      </w:pPr>
    </w:p>
    <w:p>
      <w:pPr>
        <w:pStyle w:val="57"/>
        <w:ind w:firstLine="0" w:firstLineChars="0"/>
      </w:pPr>
    </w:p>
    <w:p>
      <w:pPr>
        <w:pStyle w:val="57"/>
        <w:ind w:firstLine="0" w:firstLineChars="0"/>
      </w:pPr>
    </w:p>
    <w:p>
      <w:pPr>
        <w:pStyle w:val="57"/>
        <w:ind w:firstLine="0" w:firstLineChars="0"/>
      </w:pPr>
    </w:p>
    <w:p>
      <w:pPr>
        <w:pStyle w:val="57"/>
        <w:ind w:firstLine="0" w:firstLineChars="0"/>
      </w:pPr>
    </w:p>
    <w:p>
      <w:pPr>
        <w:pStyle w:val="57"/>
        <w:ind w:firstLine="0" w:firstLineChars="0"/>
      </w:pPr>
    </w:p>
    <w:p>
      <w:pPr>
        <w:pStyle w:val="57"/>
        <w:ind w:firstLine="0" w:firstLineChars="0"/>
      </w:pPr>
    </w:p>
    <w:p>
      <w:pPr>
        <w:pStyle w:val="57"/>
        <w:ind w:firstLine="0" w:firstLineChars="0"/>
      </w:pPr>
    </w:p>
    <w:p>
      <w:pPr>
        <w:pStyle w:val="57"/>
        <w:ind w:firstLine="0" w:firstLineChars="0"/>
      </w:pPr>
    </w:p>
    <w:p>
      <w:pPr>
        <w:pStyle w:val="57"/>
        <w:ind w:firstLine="0" w:firstLineChars="0"/>
      </w:pPr>
    </w:p>
    <w:p>
      <w:pPr>
        <w:pStyle w:val="57"/>
        <w:ind w:firstLine="0" w:firstLineChars="0"/>
      </w:pPr>
    </w:p>
    <w:p>
      <w:pPr>
        <w:pStyle w:val="57"/>
        <w:ind w:firstLine="0" w:firstLineChars="0"/>
      </w:pPr>
    </w:p>
    <w:p>
      <w:pPr>
        <w:pStyle w:val="57"/>
        <w:ind w:firstLine="0" w:firstLineChars="0"/>
      </w:pPr>
    </w:p>
    <w:p>
      <w:pPr>
        <w:pStyle w:val="57"/>
        <w:ind w:firstLine="0" w:firstLineChars="0"/>
      </w:pPr>
    </w:p>
    <w:p>
      <w:pPr>
        <w:pStyle w:val="57"/>
        <w:ind w:firstLine="0" w:firstLineChars="0"/>
      </w:pPr>
    </w:p>
    <w:p>
      <w:pPr>
        <w:pStyle w:val="57"/>
        <w:ind w:firstLine="0" w:firstLineChars="0"/>
      </w:pPr>
    </w:p>
    <w:p>
      <w:pPr>
        <w:pStyle w:val="57"/>
        <w:ind w:firstLine="0" w:firstLineChars="0"/>
      </w:pPr>
    </w:p>
    <w:p>
      <w:pPr>
        <w:pStyle w:val="57"/>
        <w:ind w:firstLine="0" w:firstLineChars="0"/>
      </w:pPr>
    </w:p>
    <w:p>
      <w:pPr>
        <w:pStyle w:val="57"/>
        <w:ind w:firstLine="0" w:firstLineChars="0"/>
      </w:pPr>
    </w:p>
    <w:p>
      <w:pPr>
        <w:pStyle w:val="57"/>
        <w:ind w:firstLine="0" w:firstLineChars="0"/>
      </w:pPr>
    </w:p>
    <w:p>
      <w:pPr>
        <w:pStyle w:val="57"/>
        <w:ind w:firstLine="0" w:firstLineChars="0"/>
      </w:pPr>
    </w:p>
    <w:p>
      <w:pPr>
        <w:pStyle w:val="57"/>
        <w:ind w:firstLine="0" w:firstLineChars="0"/>
      </w:pPr>
    </w:p>
    <w:p>
      <w:pPr>
        <w:pStyle w:val="57"/>
        <w:ind w:firstLine="0" w:firstLineChars="0"/>
      </w:pPr>
    </w:p>
    <w:p>
      <w:pPr>
        <w:pStyle w:val="57"/>
        <w:ind w:firstLine="0" w:firstLineChars="0"/>
      </w:pPr>
    </w:p>
    <w:p>
      <w:pPr>
        <w:pStyle w:val="57"/>
        <w:ind w:firstLine="0" w:firstLineChars="0"/>
      </w:pPr>
    </w:p>
    <w:p>
      <w:pPr>
        <w:pStyle w:val="57"/>
        <w:ind w:firstLine="0" w:firstLineChars="0"/>
      </w:pPr>
    </w:p>
    <w:p>
      <w:pPr>
        <w:pStyle w:val="57"/>
        <w:ind w:firstLine="0" w:firstLineChars="0"/>
      </w:pPr>
    </w:p>
    <w:p>
      <w:pPr>
        <w:pStyle w:val="57"/>
        <w:ind w:firstLine="0" w:firstLineChars="0"/>
      </w:pPr>
    </w:p>
    <w:p>
      <w:pPr>
        <w:pStyle w:val="57"/>
        <w:ind w:firstLine="0" w:firstLineChars="0"/>
      </w:pPr>
    </w:p>
    <w:p>
      <w:pPr>
        <w:pStyle w:val="57"/>
        <w:ind w:firstLine="0" w:firstLineChars="0"/>
      </w:pPr>
    </w:p>
    <w:p>
      <w:pPr>
        <w:pStyle w:val="57"/>
        <w:ind w:firstLine="0" w:firstLineChars="0"/>
      </w:pPr>
    </w:p>
    <w:p>
      <w:pPr>
        <w:pStyle w:val="57"/>
        <w:ind w:firstLine="0" w:firstLineChars="0"/>
      </w:pPr>
    </w:p>
    <w:p>
      <w:pPr>
        <w:pStyle w:val="57"/>
        <w:ind w:firstLine="0" w:firstLineChars="0"/>
      </w:pPr>
    </w:p>
    <w:p>
      <w:pPr>
        <w:pStyle w:val="57"/>
        <w:ind w:firstLine="0" w:firstLineChars="0"/>
      </w:pPr>
    </w:p>
    <w:p>
      <w:pPr>
        <w:pStyle w:val="57"/>
        <w:ind w:firstLine="199" w:firstLineChars="95"/>
        <w:sectPr>
          <w:pgSz w:w="11906" w:h="16838"/>
          <w:pgMar w:top="1871" w:right="1134" w:bottom="1134" w:left="1134" w:header="1418" w:footer="1134" w:gutter="284"/>
          <w:cols w:space="425" w:num="1"/>
          <w:formProt w:val="0"/>
          <w:docGrid w:type="lines" w:linePitch="312" w:charSpace="0"/>
        </w:sectPr>
      </w:pPr>
    </w:p>
    <w:p>
      <w:pPr>
        <w:pStyle w:val="199"/>
      </w:pPr>
    </w:p>
    <w:p>
      <w:pPr>
        <w:pStyle w:val="200"/>
      </w:pPr>
    </w:p>
    <w:p>
      <w:pPr>
        <w:pStyle w:val="77"/>
        <w:spacing w:before="78" w:after="156"/>
      </w:pPr>
      <w:r>
        <w:br w:type="textWrapping"/>
      </w:r>
      <w:bookmarkStart w:id="401" w:name="_Toc70672099"/>
      <w:bookmarkStart w:id="402" w:name="_Toc70672503"/>
      <w:bookmarkStart w:id="403" w:name="_Toc71212513"/>
      <w:bookmarkStart w:id="404" w:name="_Toc71210067"/>
      <w:bookmarkStart w:id="405" w:name="_Toc71293606"/>
      <w:bookmarkStart w:id="406" w:name="_Toc70672134"/>
      <w:bookmarkStart w:id="407" w:name="_Toc72162772"/>
      <w:r>
        <w:rPr>
          <w:rFonts w:hint="eastAsia"/>
        </w:rPr>
        <w:t>（资料性）</w:t>
      </w:r>
      <w:r>
        <w:br w:type="textWrapping"/>
      </w:r>
      <w:r>
        <w:rPr>
          <w:rFonts w:hint="eastAsia"/>
        </w:rPr>
        <w:t>平台功能明细表</w:t>
      </w:r>
      <w:bookmarkEnd w:id="401"/>
      <w:r>
        <w:rPr>
          <w:rFonts w:hint="eastAsia"/>
        </w:rPr>
        <w:t>示例</w:t>
      </w:r>
      <w:bookmarkEnd w:id="402"/>
      <w:bookmarkEnd w:id="403"/>
      <w:bookmarkEnd w:id="404"/>
      <w:bookmarkEnd w:id="405"/>
      <w:bookmarkEnd w:id="406"/>
      <w:bookmarkEnd w:id="407"/>
    </w:p>
    <w:p>
      <w:pPr>
        <w:pStyle w:val="57"/>
        <w:ind w:firstLine="420"/>
      </w:pPr>
      <w:r>
        <w:rPr>
          <w:rFonts w:hint="eastAsia"/>
        </w:rPr>
        <w:t>下面给出了社会救助综合服务平台功能设置的具体示例。</w:t>
      </w:r>
    </w:p>
    <w:p>
      <w:pPr>
        <w:pStyle w:val="78"/>
        <w:spacing w:before="156" w:after="156"/>
      </w:pPr>
      <w:r>
        <w:rPr>
          <w:rFonts w:hint="eastAsia"/>
        </w:rPr>
        <w:t>社会救助综合服务平台功能示例</w:t>
      </w:r>
    </w:p>
    <w:tbl>
      <w:tblPr>
        <w:tblStyle w:val="2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995"/>
        <w:gridCol w:w="2268"/>
        <w:gridCol w:w="511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995" w:type="dxa"/>
            <w:tcBorders>
              <w:top w:val="single" w:color="auto" w:sz="8" w:space="0"/>
              <w:bottom w:val="single" w:color="auto" w:sz="8" w:space="0"/>
            </w:tcBorders>
            <w:shd w:val="clear" w:color="auto" w:fill="auto"/>
            <w:vAlign w:val="center"/>
          </w:tcPr>
          <w:p>
            <w:pPr>
              <w:pStyle w:val="179"/>
            </w:pPr>
            <w:r>
              <w:rPr>
                <w:rFonts w:hint="eastAsia"/>
              </w:rPr>
              <w:t>系统功能</w:t>
            </w:r>
          </w:p>
        </w:tc>
        <w:tc>
          <w:tcPr>
            <w:tcW w:w="2268" w:type="dxa"/>
            <w:tcBorders>
              <w:top w:val="single" w:color="auto" w:sz="8" w:space="0"/>
              <w:bottom w:val="single" w:color="auto" w:sz="8" w:space="0"/>
            </w:tcBorders>
            <w:shd w:val="clear" w:color="auto" w:fill="auto"/>
            <w:vAlign w:val="center"/>
          </w:tcPr>
          <w:p>
            <w:pPr>
              <w:pStyle w:val="179"/>
            </w:pPr>
            <w:r>
              <w:rPr>
                <w:rFonts w:hint="eastAsia"/>
              </w:rPr>
              <w:t>一级功能</w:t>
            </w:r>
          </w:p>
        </w:tc>
        <w:tc>
          <w:tcPr>
            <w:tcW w:w="5111" w:type="dxa"/>
            <w:tcBorders>
              <w:top w:val="single" w:color="auto" w:sz="8" w:space="0"/>
              <w:bottom w:val="single" w:color="auto" w:sz="8" w:space="0"/>
            </w:tcBorders>
            <w:shd w:val="clear" w:color="auto" w:fill="auto"/>
            <w:vAlign w:val="center"/>
          </w:tcPr>
          <w:p>
            <w:pPr>
              <w:pStyle w:val="179"/>
            </w:pPr>
            <w:r>
              <w:rPr>
                <w:rFonts w:hint="eastAsia"/>
              </w:rPr>
              <w:t>二级功能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5" w:hRule="atLeast"/>
          <w:jc w:val="center"/>
        </w:trPr>
        <w:tc>
          <w:tcPr>
            <w:tcW w:w="1995" w:type="dxa"/>
            <w:vMerge w:val="restart"/>
            <w:tcBorders>
              <w:top w:val="single" w:color="auto" w:sz="8" w:space="0"/>
            </w:tcBorders>
            <w:shd w:val="clear" w:color="auto" w:fill="auto"/>
            <w:vAlign w:val="center"/>
          </w:tcPr>
          <w:p>
            <w:pPr>
              <w:pStyle w:val="179"/>
            </w:pPr>
            <w:r>
              <w:rPr>
                <w:rFonts w:hint="eastAsia"/>
              </w:rPr>
              <w:t>展示平台</w:t>
            </w:r>
          </w:p>
        </w:tc>
        <w:tc>
          <w:tcPr>
            <w:tcW w:w="2268" w:type="dxa"/>
            <w:tcBorders>
              <w:top w:val="single" w:color="auto" w:sz="8" w:space="0"/>
            </w:tcBorders>
            <w:shd w:val="clear" w:color="auto" w:fill="auto"/>
            <w:vAlign w:val="center"/>
          </w:tcPr>
          <w:p>
            <w:pPr>
              <w:widowControl/>
              <w:autoSpaceDE w:val="0"/>
              <w:autoSpaceDN w:val="0"/>
              <w:jc w:val="center"/>
              <w:rPr>
                <w:rFonts w:ascii="宋体" w:hAnsi="Times New Roman"/>
                <w:kern w:val="0"/>
                <w:sz w:val="18"/>
                <w:szCs w:val="20"/>
              </w:rPr>
            </w:pPr>
            <w:r>
              <w:rPr>
                <w:rFonts w:hint="eastAsia" w:ascii="宋体" w:hAnsi="Times New Roman"/>
                <w:kern w:val="0"/>
                <w:sz w:val="18"/>
                <w:szCs w:val="20"/>
              </w:rPr>
              <w:t>政策法规</w:t>
            </w:r>
          </w:p>
        </w:tc>
        <w:tc>
          <w:tcPr>
            <w:tcW w:w="5111" w:type="dxa"/>
            <w:tcBorders>
              <w:top w:val="single" w:color="auto" w:sz="8" w:space="0"/>
            </w:tcBorders>
            <w:shd w:val="clear" w:color="auto" w:fill="auto"/>
            <w:vAlign w:val="center"/>
          </w:tcPr>
          <w:p>
            <w:pPr>
              <w:pStyle w:val="179"/>
              <w:ind w:firstLine="90" w:firstLineChars="50"/>
              <w:jc w:val="both"/>
            </w:pPr>
            <w:r>
              <w:rPr>
                <w:rFonts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5" w:hRule="atLeast"/>
          <w:jc w:val="center"/>
        </w:trPr>
        <w:tc>
          <w:tcPr>
            <w:tcW w:w="1995" w:type="dxa"/>
            <w:vMerge w:val="continue"/>
            <w:shd w:val="clear" w:color="auto" w:fill="auto"/>
            <w:vAlign w:val="center"/>
          </w:tcPr>
          <w:p>
            <w:pPr>
              <w:pStyle w:val="179"/>
            </w:pPr>
          </w:p>
        </w:tc>
        <w:tc>
          <w:tcPr>
            <w:tcW w:w="2268" w:type="dxa"/>
            <w:tcBorders>
              <w:top w:val="single" w:color="auto" w:sz="8" w:space="0"/>
            </w:tcBorders>
            <w:shd w:val="clear" w:color="auto" w:fill="auto"/>
            <w:vAlign w:val="center"/>
          </w:tcPr>
          <w:p>
            <w:pPr>
              <w:widowControl/>
              <w:autoSpaceDE w:val="0"/>
              <w:autoSpaceDN w:val="0"/>
              <w:jc w:val="center"/>
              <w:rPr>
                <w:rFonts w:ascii="宋体" w:hAnsi="Times New Roman"/>
                <w:kern w:val="0"/>
                <w:sz w:val="18"/>
                <w:szCs w:val="20"/>
              </w:rPr>
            </w:pPr>
            <w:r>
              <w:rPr>
                <w:rFonts w:hint="eastAsia" w:ascii="宋体" w:hAnsi="Times New Roman"/>
                <w:kern w:val="0"/>
                <w:sz w:val="18"/>
                <w:szCs w:val="20"/>
              </w:rPr>
              <w:t>救助事项</w:t>
            </w:r>
          </w:p>
        </w:tc>
        <w:tc>
          <w:tcPr>
            <w:tcW w:w="5111" w:type="dxa"/>
            <w:shd w:val="clear" w:color="auto" w:fill="auto"/>
            <w:vAlign w:val="center"/>
          </w:tcPr>
          <w:p>
            <w:pPr>
              <w:pStyle w:val="179"/>
              <w:ind w:firstLine="90" w:firstLineChars="50"/>
              <w:jc w:val="both"/>
            </w:pPr>
            <w:r>
              <w:rPr>
                <w:rFonts w:hint="eastAsia"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5" w:hRule="atLeast"/>
          <w:jc w:val="center"/>
        </w:trPr>
        <w:tc>
          <w:tcPr>
            <w:tcW w:w="1995" w:type="dxa"/>
            <w:vMerge w:val="continue"/>
            <w:shd w:val="clear" w:color="auto" w:fill="auto"/>
            <w:vAlign w:val="center"/>
          </w:tcPr>
          <w:p>
            <w:pPr>
              <w:pStyle w:val="179"/>
            </w:pPr>
          </w:p>
        </w:tc>
        <w:tc>
          <w:tcPr>
            <w:tcW w:w="2268" w:type="dxa"/>
            <w:tcBorders>
              <w:top w:val="single" w:color="auto" w:sz="8" w:space="0"/>
            </w:tcBorders>
            <w:shd w:val="clear" w:color="auto" w:fill="auto"/>
            <w:vAlign w:val="center"/>
          </w:tcPr>
          <w:p>
            <w:pPr>
              <w:widowControl/>
              <w:autoSpaceDE w:val="0"/>
              <w:autoSpaceDN w:val="0"/>
              <w:jc w:val="center"/>
              <w:rPr>
                <w:rFonts w:ascii="宋体" w:hAnsi="Times New Roman"/>
                <w:kern w:val="0"/>
                <w:sz w:val="18"/>
                <w:szCs w:val="20"/>
              </w:rPr>
            </w:pPr>
            <w:r>
              <w:rPr>
                <w:rFonts w:hint="eastAsia" w:ascii="宋体" w:hAnsi="Times New Roman"/>
                <w:kern w:val="0"/>
                <w:sz w:val="18"/>
                <w:szCs w:val="20"/>
              </w:rPr>
              <w:t>业务流程</w:t>
            </w:r>
          </w:p>
        </w:tc>
        <w:tc>
          <w:tcPr>
            <w:tcW w:w="5111" w:type="dxa"/>
            <w:shd w:val="clear" w:color="auto" w:fill="auto"/>
            <w:vAlign w:val="center"/>
          </w:tcPr>
          <w:p>
            <w:pPr>
              <w:pStyle w:val="179"/>
              <w:ind w:firstLine="90" w:firstLineChars="50"/>
              <w:jc w:val="both"/>
              <w:rPr>
                <w:rFonts w:hAnsi="宋体"/>
              </w:rPr>
            </w:pPr>
            <w:r>
              <w:rPr>
                <w:rFonts w:hint="eastAsia"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5" w:hRule="atLeast"/>
          <w:jc w:val="center"/>
        </w:trPr>
        <w:tc>
          <w:tcPr>
            <w:tcW w:w="1995" w:type="dxa"/>
            <w:vMerge w:val="continue"/>
            <w:shd w:val="clear" w:color="auto" w:fill="auto"/>
            <w:vAlign w:val="center"/>
          </w:tcPr>
          <w:p>
            <w:pPr>
              <w:pStyle w:val="179"/>
            </w:pPr>
          </w:p>
        </w:tc>
        <w:tc>
          <w:tcPr>
            <w:tcW w:w="2268" w:type="dxa"/>
            <w:tcBorders>
              <w:top w:val="single" w:color="auto" w:sz="8" w:space="0"/>
            </w:tcBorders>
            <w:shd w:val="clear" w:color="auto" w:fill="auto"/>
            <w:vAlign w:val="center"/>
          </w:tcPr>
          <w:p>
            <w:pPr>
              <w:widowControl/>
              <w:autoSpaceDE w:val="0"/>
              <w:autoSpaceDN w:val="0"/>
              <w:jc w:val="center"/>
              <w:rPr>
                <w:rFonts w:ascii="宋体" w:hAnsi="Times New Roman"/>
                <w:kern w:val="0"/>
                <w:sz w:val="18"/>
                <w:szCs w:val="20"/>
              </w:rPr>
            </w:pPr>
            <w:r>
              <w:rPr>
                <w:rFonts w:hint="eastAsia" w:ascii="宋体" w:hAnsi="Times New Roman"/>
                <w:kern w:val="0"/>
                <w:sz w:val="18"/>
                <w:szCs w:val="20"/>
              </w:rPr>
              <w:t>救助查询</w:t>
            </w:r>
          </w:p>
        </w:tc>
        <w:tc>
          <w:tcPr>
            <w:tcW w:w="5111" w:type="dxa"/>
            <w:shd w:val="clear" w:color="auto" w:fill="auto"/>
            <w:vAlign w:val="center"/>
          </w:tcPr>
          <w:p>
            <w:pPr>
              <w:pStyle w:val="179"/>
              <w:ind w:firstLine="90" w:firstLineChars="50"/>
              <w:jc w:val="both"/>
            </w:pPr>
            <w:r>
              <w:rPr>
                <w:rFonts w:hint="eastAsia" w:hAnsi="宋体"/>
              </w:rPr>
              <w:t>成果查询、进度查询、部门查询等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5" w:hRule="atLeast"/>
          <w:jc w:val="center"/>
        </w:trPr>
        <w:tc>
          <w:tcPr>
            <w:tcW w:w="1995" w:type="dxa"/>
            <w:vMerge w:val="continue"/>
            <w:shd w:val="clear" w:color="auto" w:fill="auto"/>
            <w:vAlign w:val="center"/>
          </w:tcPr>
          <w:p>
            <w:pPr>
              <w:pStyle w:val="179"/>
            </w:pPr>
          </w:p>
        </w:tc>
        <w:tc>
          <w:tcPr>
            <w:tcW w:w="2268" w:type="dxa"/>
            <w:tcBorders>
              <w:top w:val="single" w:color="auto" w:sz="8" w:space="0"/>
            </w:tcBorders>
            <w:shd w:val="clear" w:color="auto" w:fill="auto"/>
            <w:vAlign w:val="center"/>
          </w:tcPr>
          <w:p>
            <w:pPr>
              <w:widowControl/>
              <w:autoSpaceDE w:val="0"/>
              <w:autoSpaceDN w:val="0"/>
              <w:jc w:val="center"/>
              <w:rPr>
                <w:rFonts w:ascii="宋体" w:hAnsi="Times New Roman"/>
                <w:kern w:val="0"/>
                <w:sz w:val="18"/>
                <w:szCs w:val="20"/>
              </w:rPr>
            </w:pPr>
            <w:r>
              <w:rPr>
                <w:rFonts w:hint="eastAsia" w:ascii="宋体" w:hAnsi="Times New Roman"/>
                <w:kern w:val="0"/>
                <w:sz w:val="18"/>
                <w:szCs w:val="20"/>
              </w:rPr>
              <w:t>救助互动</w:t>
            </w:r>
          </w:p>
        </w:tc>
        <w:tc>
          <w:tcPr>
            <w:tcW w:w="5111" w:type="dxa"/>
            <w:shd w:val="clear" w:color="auto" w:fill="auto"/>
            <w:vAlign w:val="center"/>
          </w:tcPr>
          <w:p>
            <w:pPr>
              <w:pStyle w:val="179"/>
              <w:ind w:firstLine="90" w:firstLineChars="50"/>
              <w:jc w:val="both"/>
            </w:pPr>
            <w:r>
              <w:rPr>
                <w:rFonts w:hint="eastAsia"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5" w:hRule="atLeast"/>
          <w:jc w:val="center"/>
        </w:trPr>
        <w:tc>
          <w:tcPr>
            <w:tcW w:w="1995" w:type="dxa"/>
            <w:vMerge w:val="continue"/>
            <w:shd w:val="clear" w:color="auto" w:fill="auto"/>
            <w:vAlign w:val="center"/>
          </w:tcPr>
          <w:p>
            <w:pPr>
              <w:pStyle w:val="179"/>
            </w:pPr>
          </w:p>
        </w:tc>
        <w:tc>
          <w:tcPr>
            <w:tcW w:w="2268" w:type="dxa"/>
            <w:tcBorders>
              <w:top w:val="single" w:color="auto" w:sz="8" w:space="0"/>
            </w:tcBorders>
            <w:shd w:val="clear" w:color="auto" w:fill="auto"/>
            <w:vAlign w:val="center"/>
          </w:tcPr>
          <w:p>
            <w:pPr>
              <w:widowControl/>
              <w:autoSpaceDE w:val="0"/>
              <w:autoSpaceDN w:val="0"/>
              <w:jc w:val="center"/>
              <w:rPr>
                <w:rFonts w:ascii="宋体" w:hAnsi="Times New Roman"/>
                <w:kern w:val="0"/>
                <w:sz w:val="18"/>
                <w:szCs w:val="20"/>
              </w:rPr>
            </w:pPr>
            <w:r>
              <w:rPr>
                <w:rFonts w:hint="eastAsia" w:ascii="宋体" w:hAnsi="Times New Roman"/>
                <w:kern w:val="0"/>
                <w:sz w:val="18"/>
                <w:szCs w:val="20"/>
              </w:rPr>
              <w:t>在线举报</w:t>
            </w:r>
          </w:p>
        </w:tc>
        <w:tc>
          <w:tcPr>
            <w:tcW w:w="5111" w:type="dxa"/>
            <w:shd w:val="clear" w:color="auto" w:fill="auto"/>
            <w:vAlign w:val="center"/>
          </w:tcPr>
          <w:p>
            <w:pPr>
              <w:pStyle w:val="179"/>
              <w:ind w:firstLine="90" w:firstLineChars="50"/>
              <w:jc w:val="both"/>
            </w:pPr>
            <w:r>
              <w:rPr>
                <w:rFonts w:hint="eastAsia" w:hAnsi="宋体"/>
              </w:rPr>
              <w:t>署名举报、匿名举报等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95" w:type="dxa"/>
            <w:vMerge w:val="restart"/>
            <w:shd w:val="clear" w:color="auto" w:fill="auto"/>
            <w:vAlign w:val="center"/>
          </w:tcPr>
          <w:p>
            <w:pPr>
              <w:pStyle w:val="179"/>
            </w:pPr>
            <w:r>
              <w:rPr>
                <w:rFonts w:hint="eastAsia"/>
              </w:rPr>
              <w:t>管理平台</w:t>
            </w:r>
          </w:p>
        </w:tc>
        <w:tc>
          <w:tcPr>
            <w:tcW w:w="2268" w:type="dxa"/>
            <w:shd w:val="clear" w:color="auto" w:fill="auto"/>
            <w:vAlign w:val="center"/>
          </w:tcPr>
          <w:p>
            <w:pPr>
              <w:pStyle w:val="179"/>
            </w:pPr>
            <w:r>
              <w:rPr>
                <w:rFonts w:hint="eastAsia"/>
              </w:rPr>
              <w:t>救助事项管理</w:t>
            </w:r>
          </w:p>
        </w:tc>
        <w:tc>
          <w:tcPr>
            <w:tcW w:w="5111" w:type="dxa"/>
            <w:shd w:val="clear" w:color="auto" w:fill="auto"/>
            <w:vAlign w:val="center"/>
          </w:tcPr>
          <w:p>
            <w:pPr>
              <w:pStyle w:val="179"/>
              <w:ind w:firstLine="90" w:firstLineChars="50"/>
              <w:jc w:val="both"/>
            </w:pPr>
            <w:r>
              <w:rPr>
                <w:rFonts w:hint="eastAsia" w:hAnsi="宋体"/>
              </w:rPr>
              <w:t>目录清单管理、实施清单管理、清单发布管理、政策分析等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95" w:type="dxa"/>
            <w:vMerge w:val="continue"/>
            <w:shd w:val="clear" w:color="auto" w:fill="auto"/>
            <w:vAlign w:val="center"/>
          </w:tcPr>
          <w:p>
            <w:pPr>
              <w:pStyle w:val="179"/>
            </w:pPr>
          </w:p>
        </w:tc>
        <w:tc>
          <w:tcPr>
            <w:tcW w:w="2268" w:type="dxa"/>
            <w:shd w:val="clear" w:color="auto" w:fill="auto"/>
            <w:vAlign w:val="center"/>
          </w:tcPr>
          <w:p>
            <w:pPr>
              <w:pStyle w:val="179"/>
            </w:pPr>
            <w:r>
              <w:rPr>
                <w:rFonts w:hint="eastAsia"/>
              </w:rPr>
              <w:t>一门受理</w:t>
            </w:r>
          </w:p>
        </w:tc>
        <w:tc>
          <w:tcPr>
            <w:tcW w:w="5111" w:type="dxa"/>
            <w:shd w:val="clear" w:color="auto" w:fill="auto"/>
            <w:vAlign w:val="center"/>
          </w:tcPr>
          <w:p>
            <w:pPr>
              <w:pStyle w:val="179"/>
              <w:ind w:firstLine="90" w:firstLineChars="50"/>
              <w:jc w:val="both"/>
            </w:pPr>
            <w:r>
              <w:rPr>
                <w:rFonts w:hint="eastAsia" w:hAnsi="宋体"/>
              </w:rPr>
              <w:t>咨询业务、大厅收件、受理业务等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95" w:type="dxa"/>
            <w:vMerge w:val="continue"/>
            <w:shd w:val="clear" w:color="auto" w:fill="auto"/>
            <w:vAlign w:val="center"/>
          </w:tcPr>
          <w:p>
            <w:pPr>
              <w:pStyle w:val="179"/>
            </w:pPr>
          </w:p>
        </w:tc>
        <w:tc>
          <w:tcPr>
            <w:tcW w:w="2268" w:type="dxa"/>
            <w:shd w:val="clear" w:color="auto" w:fill="auto"/>
            <w:vAlign w:val="center"/>
          </w:tcPr>
          <w:p>
            <w:pPr>
              <w:pStyle w:val="179"/>
            </w:pPr>
            <w:r>
              <w:rPr>
                <w:rFonts w:hint="eastAsia"/>
              </w:rPr>
              <w:t>业务办理</w:t>
            </w:r>
          </w:p>
        </w:tc>
        <w:tc>
          <w:tcPr>
            <w:tcW w:w="5111" w:type="dxa"/>
            <w:shd w:val="clear" w:color="auto" w:fill="auto"/>
            <w:vAlign w:val="center"/>
          </w:tcPr>
          <w:p>
            <w:pPr>
              <w:pStyle w:val="179"/>
              <w:ind w:firstLine="90" w:firstLineChars="50"/>
              <w:jc w:val="both"/>
            </w:pPr>
            <w:r>
              <w:rPr>
                <w:rFonts w:hint="eastAsia" w:hAnsi="宋体"/>
              </w:rPr>
              <w:t>代办业务、已办业务、办理结果等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95" w:type="dxa"/>
            <w:vMerge w:val="continue"/>
            <w:shd w:val="clear" w:color="auto" w:fill="auto"/>
            <w:vAlign w:val="center"/>
          </w:tcPr>
          <w:p>
            <w:pPr>
              <w:pStyle w:val="179"/>
            </w:pPr>
          </w:p>
        </w:tc>
        <w:tc>
          <w:tcPr>
            <w:tcW w:w="2268" w:type="dxa"/>
            <w:shd w:val="clear" w:color="auto" w:fill="auto"/>
            <w:vAlign w:val="center"/>
          </w:tcPr>
          <w:p>
            <w:pPr>
              <w:pStyle w:val="179"/>
            </w:pPr>
            <w:r>
              <w:rPr>
                <w:rFonts w:hint="eastAsia"/>
              </w:rPr>
              <w:t>信息核对</w:t>
            </w:r>
          </w:p>
        </w:tc>
        <w:tc>
          <w:tcPr>
            <w:tcW w:w="5111" w:type="dxa"/>
            <w:shd w:val="clear" w:color="auto" w:fill="auto"/>
            <w:vAlign w:val="center"/>
          </w:tcPr>
          <w:p>
            <w:pPr>
              <w:pStyle w:val="179"/>
              <w:ind w:firstLine="90" w:firstLineChars="50"/>
              <w:jc w:val="both"/>
            </w:pPr>
            <w:r>
              <w:rPr>
                <w:rFonts w:hint="eastAsia" w:hAnsi="宋体"/>
              </w:rPr>
              <w:t>信息采集、数据交换、核对办理、综合查询等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95" w:type="dxa"/>
            <w:vMerge w:val="continue"/>
            <w:shd w:val="clear" w:color="auto" w:fill="auto"/>
            <w:vAlign w:val="center"/>
          </w:tcPr>
          <w:p>
            <w:pPr>
              <w:pStyle w:val="179"/>
            </w:pPr>
          </w:p>
        </w:tc>
        <w:tc>
          <w:tcPr>
            <w:tcW w:w="2268" w:type="dxa"/>
            <w:shd w:val="clear" w:color="auto" w:fill="auto"/>
            <w:vAlign w:val="center"/>
          </w:tcPr>
          <w:p>
            <w:pPr>
              <w:pStyle w:val="179"/>
            </w:pPr>
            <w:r>
              <w:rPr>
                <w:rFonts w:hint="eastAsia"/>
              </w:rPr>
              <w:t>监督监察</w:t>
            </w:r>
          </w:p>
        </w:tc>
        <w:tc>
          <w:tcPr>
            <w:tcW w:w="5111" w:type="dxa"/>
            <w:shd w:val="clear" w:color="auto" w:fill="auto"/>
            <w:vAlign w:val="center"/>
          </w:tcPr>
          <w:p>
            <w:pPr>
              <w:pStyle w:val="179"/>
              <w:ind w:firstLine="90" w:firstLineChars="50"/>
              <w:jc w:val="both"/>
            </w:pPr>
            <w:r>
              <w:rPr>
                <w:rFonts w:hint="eastAsia" w:hAnsi="宋体"/>
              </w:rPr>
              <w:t>公示抽查、公告通知、资金监管等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95" w:type="dxa"/>
            <w:vMerge w:val="continue"/>
            <w:shd w:val="clear" w:color="auto" w:fill="auto"/>
            <w:vAlign w:val="center"/>
          </w:tcPr>
          <w:p>
            <w:pPr>
              <w:pStyle w:val="179"/>
            </w:pPr>
          </w:p>
        </w:tc>
        <w:tc>
          <w:tcPr>
            <w:tcW w:w="2268" w:type="dxa"/>
            <w:shd w:val="clear" w:color="auto" w:fill="auto"/>
            <w:vAlign w:val="center"/>
          </w:tcPr>
          <w:p>
            <w:pPr>
              <w:pStyle w:val="179"/>
            </w:pPr>
            <w:r>
              <w:rPr>
                <w:rFonts w:hint="eastAsia"/>
              </w:rPr>
              <w:t>智慧数据</w:t>
            </w:r>
          </w:p>
        </w:tc>
        <w:tc>
          <w:tcPr>
            <w:tcW w:w="5111" w:type="dxa"/>
            <w:shd w:val="clear" w:color="auto" w:fill="auto"/>
            <w:vAlign w:val="center"/>
          </w:tcPr>
          <w:p>
            <w:pPr>
              <w:pStyle w:val="179"/>
              <w:ind w:firstLine="90" w:firstLineChars="50"/>
              <w:jc w:val="both"/>
            </w:pPr>
            <w:r>
              <w:rPr>
                <w:rFonts w:hint="eastAsia" w:hAnsi="宋体"/>
              </w:rPr>
              <w:t>民生搜索、低收入人口库、资源库综合分析、分类统计分析等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95" w:type="dxa"/>
            <w:vMerge w:val="continue"/>
            <w:shd w:val="clear" w:color="auto" w:fill="auto"/>
            <w:vAlign w:val="center"/>
          </w:tcPr>
          <w:p>
            <w:pPr>
              <w:pStyle w:val="179"/>
            </w:pPr>
          </w:p>
        </w:tc>
        <w:tc>
          <w:tcPr>
            <w:tcW w:w="2268" w:type="dxa"/>
            <w:shd w:val="clear" w:color="auto" w:fill="auto"/>
            <w:vAlign w:val="center"/>
          </w:tcPr>
          <w:p>
            <w:pPr>
              <w:pStyle w:val="179"/>
            </w:pPr>
            <w:r>
              <w:rPr>
                <w:rFonts w:hint="eastAsia"/>
              </w:rPr>
              <w:t>档案管理</w:t>
            </w:r>
          </w:p>
        </w:tc>
        <w:tc>
          <w:tcPr>
            <w:tcW w:w="5111" w:type="dxa"/>
            <w:shd w:val="clear" w:color="auto" w:fill="auto"/>
            <w:vAlign w:val="center"/>
          </w:tcPr>
          <w:p>
            <w:pPr>
              <w:pStyle w:val="179"/>
              <w:ind w:firstLine="90" w:firstLineChars="50"/>
              <w:jc w:val="both"/>
              <w:rPr>
                <w:rFonts w:hAnsi="宋体"/>
              </w:rPr>
            </w:pPr>
            <w:r>
              <w:rPr>
                <w:rFonts w:hint="eastAsia" w:hAnsi="宋体"/>
              </w:rPr>
              <w:t>低保、特困等人群档案分类管理、收入核对管理等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95" w:type="dxa"/>
            <w:vMerge w:val="continue"/>
            <w:shd w:val="clear" w:color="auto" w:fill="auto"/>
            <w:vAlign w:val="center"/>
          </w:tcPr>
          <w:p>
            <w:pPr>
              <w:pStyle w:val="179"/>
            </w:pPr>
          </w:p>
        </w:tc>
        <w:tc>
          <w:tcPr>
            <w:tcW w:w="2268" w:type="dxa"/>
            <w:shd w:val="clear" w:color="auto" w:fill="auto"/>
            <w:vAlign w:val="center"/>
          </w:tcPr>
          <w:p>
            <w:pPr>
              <w:pStyle w:val="179"/>
            </w:pPr>
            <w:r>
              <w:rPr>
                <w:rFonts w:hint="eastAsia"/>
              </w:rPr>
              <w:t>救助管理</w:t>
            </w:r>
          </w:p>
        </w:tc>
        <w:tc>
          <w:tcPr>
            <w:tcW w:w="5111" w:type="dxa"/>
            <w:shd w:val="clear" w:color="auto" w:fill="auto"/>
            <w:vAlign w:val="center"/>
          </w:tcPr>
          <w:p>
            <w:pPr>
              <w:pStyle w:val="179"/>
              <w:ind w:firstLine="90" w:firstLineChars="50"/>
              <w:jc w:val="both"/>
              <w:rPr>
                <w:rFonts w:hAnsi="宋体"/>
              </w:rPr>
            </w:pPr>
            <w:r>
              <w:rPr>
                <w:rFonts w:hint="eastAsia" w:hAnsi="宋体"/>
              </w:rPr>
              <w:t>救助台账、社会力量、临时救助等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95" w:type="dxa"/>
            <w:vMerge w:val="continue"/>
            <w:shd w:val="clear" w:color="auto" w:fill="auto"/>
            <w:vAlign w:val="center"/>
          </w:tcPr>
          <w:p>
            <w:pPr>
              <w:pStyle w:val="179"/>
            </w:pPr>
          </w:p>
        </w:tc>
        <w:tc>
          <w:tcPr>
            <w:tcW w:w="2268" w:type="dxa"/>
            <w:shd w:val="clear" w:color="auto" w:fill="auto"/>
            <w:vAlign w:val="center"/>
          </w:tcPr>
          <w:p>
            <w:pPr>
              <w:pStyle w:val="179"/>
            </w:pPr>
            <w:r>
              <w:rPr>
                <w:rFonts w:hint="eastAsia"/>
              </w:rPr>
              <w:t>系统管理</w:t>
            </w:r>
          </w:p>
        </w:tc>
        <w:tc>
          <w:tcPr>
            <w:tcW w:w="5111" w:type="dxa"/>
            <w:shd w:val="clear" w:color="auto" w:fill="auto"/>
            <w:vAlign w:val="center"/>
          </w:tcPr>
          <w:p>
            <w:pPr>
              <w:pStyle w:val="179"/>
              <w:ind w:firstLine="90" w:firstLineChars="50"/>
              <w:jc w:val="both"/>
              <w:rPr>
                <w:rFonts w:hAnsi="宋体"/>
              </w:rPr>
            </w:pPr>
            <w:r>
              <w:rPr>
                <w:rFonts w:hint="eastAsia" w:hAnsi="宋体"/>
              </w:rPr>
              <w:t>业务配置、流程配置、基础配置等</w:t>
            </w:r>
          </w:p>
        </w:tc>
      </w:tr>
    </w:tbl>
    <w:p>
      <w:pPr>
        <w:pStyle w:val="180"/>
      </w:pPr>
      <w:r>
        <w:rPr>
          <w:rFonts w:hint="eastAsia"/>
        </w:rPr>
        <w:t>表中的一、二级功能设置仅作为参考，具体功能设置应根据实际需求进行操作。</w:t>
      </w:r>
    </w:p>
    <w:p>
      <w:pPr>
        <w:pStyle w:val="57"/>
        <w:ind w:firstLine="420"/>
      </w:pPr>
    </w:p>
    <w:p>
      <w:pPr>
        <w:pStyle w:val="57"/>
        <w:ind w:firstLine="420"/>
      </w:pPr>
    </w:p>
    <w:p>
      <w:pPr>
        <w:pStyle w:val="57"/>
        <w:ind w:firstLine="420"/>
      </w:pPr>
    </w:p>
    <w:p>
      <w:pPr>
        <w:pStyle w:val="57"/>
        <w:ind w:firstLine="420"/>
      </w:pPr>
    </w:p>
    <w:p>
      <w:pPr>
        <w:pStyle w:val="57"/>
        <w:ind w:firstLine="420"/>
        <w:sectPr>
          <w:pgSz w:w="11906" w:h="16838"/>
          <w:pgMar w:top="1871" w:right="1134" w:bottom="1134" w:left="1134" w:header="1418" w:footer="1134" w:gutter="284"/>
          <w:cols w:space="425" w:num="1"/>
          <w:formProt w:val="0"/>
          <w:docGrid w:type="lines" w:linePitch="312" w:charSpace="0"/>
        </w:sectPr>
      </w:pPr>
    </w:p>
    <w:p>
      <w:pPr>
        <w:pStyle w:val="199"/>
      </w:pPr>
    </w:p>
    <w:p>
      <w:pPr>
        <w:pStyle w:val="200"/>
      </w:pPr>
    </w:p>
    <w:p>
      <w:pPr>
        <w:pStyle w:val="77"/>
        <w:spacing w:before="78" w:after="156"/>
      </w:pPr>
      <w:r>
        <w:br w:type="textWrapping"/>
      </w:r>
      <w:bookmarkStart w:id="408" w:name="_Toc67927649"/>
      <w:bookmarkStart w:id="409" w:name="_Toc68793347"/>
      <w:bookmarkStart w:id="410" w:name="_Toc71293607"/>
      <w:bookmarkStart w:id="411" w:name="_Toc70672135"/>
      <w:bookmarkStart w:id="412" w:name="_Toc71210068"/>
      <w:bookmarkStart w:id="413" w:name="_Toc71212514"/>
      <w:bookmarkStart w:id="414" w:name="_Toc67928357"/>
      <w:bookmarkStart w:id="415" w:name="_Toc70672504"/>
      <w:bookmarkStart w:id="416" w:name="_Toc68253958"/>
      <w:bookmarkStart w:id="417" w:name="_Toc69203929"/>
      <w:bookmarkStart w:id="418" w:name="_Toc70672100"/>
      <w:bookmarkStart w:id="419" w:name="_Toc72162773"/>
      <w:r>
        <w:rPr>
          <w:rFonts w:hint="eastAsia"/>
        </w:rPr>
        <w:t>（资料性）</w:t>
      </w:r>
      <w:r>
        <w:br w:type="textWrapping"/>
      </w:r>
      <w:r>
        <w:rPr>
          <w:rFonts w:hint="eastAsia"/>
        </w:rPr>
        <w:t>制度</w:t>
      </w:r>
      <w:bookmarkEnd w:id="408"/>
      <w:r>
        <w:rPr>
          <w:rFonts w:hint="eastAsia"/>
        </w:rPr>
        <w:t>建设</w:t>
      </w:r>
      <w:bookmarkEnd w:id="409"/>
      <w:bookmarkEnd w:id="410"/>
      <w:bookmarkEnd w:id="411"/>
      <w:bookmarkEnd w:id="412"/>
      <w:bookmarkEnd w:id="413"/>
      <w:bookmarkEnd w:id="414"/>
      <w:bookmarkEnd w:id="415"/>
      <w:bookmarkEnd w:id="416"/>
      <w:bookmarkEnd w:id="417"/>
      <w:bookmarkEnd w:id="418"/>
      <w:r>
        <w:rPr>
          <w:rFonts w:hint="eastAsia"/>
        </w:rPr>
        <w:t>示例</w:t>
      </w:r>
      <w:bookmarkEnd w:id="419"/>
    </w:p>
    <w:p>
      <w:pPr>
        <w:pStyle w:val="79"/>
        <w:spacing w:before="156" w:after="156"/>
      </w:pPr>
      <w:bookmarkStart w:id="420" w:name="_Toc68253959"/>
      <w:bookmarkStart w:id="421" w:name="_Toc67928358"/>
      <w:bookmarkStart w:id="422" w:name="_Toc67927650"/>
      <w:bookmarkStart w:id="423" w:name="_Toc69203930"/>
      <w:bookmarkStart w:id="424" w:name="_Toc70672136"/>
      <w:bookmarkStart w:id="425" w:name="_Toc70672505"/>
      <w:bookmarkStart w:id="426" w:name="_Toc71293608"/>
      <w:bookmarkStart w:id="427" w:name="_Toc71212515"/>
      <w:bookmarkStart w:id="428" w:name="_Toc71210069"/>
      <w:bookmarkStart w:id="429" w:name="_Toc68793348"/>
      <w:bookmarkStart w:id="430" w:name="_Toc70672101"/>
      <w:bookmarkStart w:id="431" w:name="_Toc72162774"/>
      <w:r>
        <w:rPr>
          <w:rFonts w:hint="eastAsia"/>
        </w:rPr>
        <w:t>联席会议</w:t>
      </w:r>
      <w:bookmarkEnd w:id="420"/>
      <w:bookmarkEnd w:id="421"/>
      <w:bookmarkEnd w:id="422"/>
      <w:r>
        <w:rPr>
          <w:rFonts w:hint="eastAsia"/>
        </w:rPr>
        <w:t>制度</w:t>
      </w:r>
      <w:bookmarkEnd w:id="423"/>
      <w:bookmarkEnd w:id="424"/>
      <w:bookmarkEnd w:id="425"/>
      <w:bookmarkEnd w:id="426"/>
      <w:bookmarkEnd w:id="427"/>
      <w:bookmarkEnd w:id="428"/>
      <w:bookmarkEnd w:id="429"/>
      <w:bookmarkEnd w:id="430"/>
      <w:r>
        <w:rPr>
          <w:rFonts w:hint="eastAsia"/>
        </w:rPr>
        <w:t>建设</w:t>
      </w:r>
      <w:bookmarkEnd w:id="431"/>
    </w:p>
    <w:p>
      <w:pPr>
        <w:pStyle w:val="213"/>
      </w:pPr>
      <w:r>
        <w:rPr>
          <w:rFonts w:hint="eastAsia"/>
        </w:rPr>
        <w:t>制定和完善机构组成，确定领导及联席会议成员单位职责。</w:t>
      </w:r>
    </w:p>
    <w:p>
      <w:pPr>
        <w:pStyle w:val="213"/>
      </w:pPr>
      <w:r>
        <w:rPr>
          <w:rFonts w:hint="eastAsia"/>
        </w:rPr>
        <w:t>制定和完善社会救助综合服务平台建设工作（实施意见）制度，包括指导思想、基本原则、工作措施实施步骤、工作措施步骤、工作要求等内容。</w:t>
      </w:r>
    </w:p>
    <w:p>
      <w:pPr>
        <w:pStyle w:val="213"/>
      </w:pPr>
      <w:r>
        <w:rPr>
          <w:rFonts w:hint="eastAsia"/>
        </w:rPr>
        <w:t>制定和完善社会救助综合服务平台运行制度，建立社会救助体系下平台运行机制。</w:t>
      </w:r>
    </w:p>
    <w:p>
      <w:pPr>
        <w:pStyle w:val="213"/>
      </w:pPr>
      <w:r>
        <w:rPr>
          <w:rFonts w:hint="eastAsia"/>
        </w:rPr>
        <w:t>定期召集联系会议制度中涉及的领导和成员召开联系会议，不定期组织和开展社会救助大平台运行工作专项走访、考察、调研活动。</w:t>
      </w:r>
    </w:p>
    <w:p>
      <w:pPr>
        <w:pStyle w:val="213"/>
      </w:pPr>
      <w:r>
        <w:rPr>
          <w:rFonts w:hint="eastAsia"/>
        </w:rPr>
        <w:t>及时掌握社会救助大平台运行工作进展情况，组织对相关部门社会救助大平台运行工作情况开展督查和通报。</w:t>
      </w:r>
    </w:p>
    <w:p>
      <w:pPr>
        <w:pStyle w:val="79"/>
        <w:spacing w:before="156" w:after="156"/>
      </w:pPr>
      <w:bookmarkStart w:id="432" w:name="_Toc68793349"/>
      <w:bookmarkStart w:id="433" w:name="_Toc70672102"/>
      <w:bookmarkStart w:id="434" w:name="_Toc67928359"/>
      <w:bookmarkStart w:id="435" w:name="_Toc71293609"/>
      <w:bookmarkStart w:id="436" w:name="_Toc70672506"/>
      <w:bookmarkStart w:id="437" w:name="_Toc70672137"/>
      <w:bookmarkStart w:id="438" w:name="_Toc71210070"/>
      <w:bookmarkStart w:id="439" w:name="_Toc69203931"/>
      <w:bookmarkStart w:id="440" w:name="_Toc67927651"/>
      <w:bookmarkStart w:id="441" w:name="_Toc68253960"/>
      <w:bookmarkStart w:id="442" w:name="_Toc71212516"/>
      <w:bookmarkStart w:id="443" w:name="_Toc72162775"/>
      <w:r>
        <w:rPr>
          <w:rFonts w:hint="eastAsia"/>
        </w:rPr>
        <w:t>信息公开制度</w:t>
      </w:r>
      <w:bookmarkEnd w:id="432"/>
      <w:bookmarkEnd w:id="433"/>
      <w:bookmarkEnd w:id="434"/>
      <w:bookmarkEnd w:id="435"/>
      <w:bookmarkEnd w:id="436"/>
      <w:bookmarkEnd w:id="437"/>
      <w:bookmarkEnd w:id="438"/>
      <w:bookmarkEnd w:id="439"/>
      <w:bookmarkEnd w:id="440"/>
      <w:bookmarkEnd w:id="441"/>
      <w:bookmarkEnd w:id="442"/>
      <w:r>
        <w:rPr>
          <w:rFonts w:hint="eastAsia"/>
        </w:rPr>
        <w:t>建设</w:t>
      </w:r>
      <w:bookmarkEnd w:id="443"/>
    </w:p>
    <w:p>
      <w:pPr>
        <w:pStyle w:val="213"/>
      </w:pPr>
      <w:r>
        <w:rPr>
          <w:rFonts w:hint="eastAsia"/>
        </w:rPr>
        <w:t>社会救助管理部门负责平台政策清单的统一管理、发布、审核。各级社会救助管理部门负责本级实施清单的管理。</w:t>
      </w:r>
    </w:p>
    <w:p>
      <w:pPr>
        <w:pStyle w:val="213"/>
      </w:pPr>
      <w:r>
        <w:rPr>
          <w:rFonts w:hint="eastAsia"/>
        </w:rPr>
        <w:t>定期对政策清单的合法性及市时效性进行审核，并及时动态更新。</w:t>
      </w:r>
    </w:p>
    <w:p>
      <w:pPr>
        <w:pStyle w:val="79"/>
        <w:spacing w:before="156" w:after="156"/>
      </w:pPr>
      <w:bookmarkStart w:id="444" w:name="_Toc70672103"/>
      <w:bookmarkStart w:id="445" w:name="_Toc69203932"/>
      <w:bookmarkStart w:id="446" w:name="_Toc67927652"/>
      <w:bookmarkStart w:id="447" w:name="_Toc71212517"/>
      <w:bookmarkStart w:id="448" w:name="_Toc68793350"/>
      <w:bookmarkStart w:id="449" w:name="_Toc70672507"/>
      <w:bookmarkStart w:id="450" w:name="_Toc68253961"/>
      <w:bookmarkStart w:id="451" w:name="_Toc71210071"/>
      <w:bookmarkStart w:id="452" w:name="_Toc67928360"/>
      <w:bookmarkStart w:id="453" w:name="_Toc71293610"/>
      <w:bookmarkStart w:id="454" w:name="_Toc70672138"/>
      <w:bookmarkStart w:id="455" w:name="_Toc72162776"/>
      <w:r>
        <w:rPr>
          <w:rFonts w:hint="eastAsia"/>
        </w:rPr>
        <w:t>资金监管制度</w:t>
      </w:r>
      <w:bookmarkEnd w:id="444"/>
      <w:bookmarkEnd w:id="445"/>
      <w:bookmarkEnd w:id="446"/>
      <w:bookmarkEnd w:id="447"/>
      <w:bookmarkEnd w:id="448"/>
      <w:bookmarkEnd w:id="449"/>
      <w:bookmarkEnd w:id="450"/>
      <w:bookmarkEnd w:id="451"/>
      <w:bookmarkEnd w:id="452"/>
      <w:bookmarkEnd w:id="453"/>
      <w:bookmarkEnd w:id="454"/>
      <w:r>
        <w:rPr>
          <w:rFonts w:hint="eastAsia"/>
        </w:rPr>
        <w:t>建设</w:t>
      </w:r>
      <w:bookmarkEnd w:id="455"/>
    </w:p>
    <w:p>
      <w:pPr>
        <w:pStyle w:val="213"/>
      </w:pPr>
      <w:r>
        <w:rPr>
          <w:rFonts w:hint="eastAsia"/>
        </w:rPr>
        <w:t>平台受理、审批救助资金后，宜自动生成资金拨付单，并通过社会救助管理部门网络审核，传入对应财政部门。</w:t>
      </w:r>
    </w:p>
    <w:p>
      <w:pPr>
        <w:pStyle w:val="213"/>
      </w:pPr>
      <w:r>
        <w:rPr>
          <w:rFonts w:hint="eastAsia"/>
        </w:rPr>
        <w:t>财政部门抽查无问题后，应在规定时限内核拨；抽查有问题的，应在平台上逐级退回。</w:t>
      </w:r>
    </w:p>
    <w:p>
      <w:pPr>
        <w:pStyle w:val="213"/>
        <w:rPr>
          <w:color w:val="000000" w:themeColor="text1"/>
        </w:rPr>
      </w:pPr>
      <w:r>
        <w:rPr>
          <w:rFonts w:hint="eastAsia"/>
          <w:color w:val="000000" w:themeColor="text1"/>
        </w:rPr>
        <w:t>平台应与社会保障卡一卡通对接，如出现临时救助等按照政策不需要纳入一卡通发放资金的 情况，仍需申请人个人银行账户卡发放的，则救助部门收到财政拨付资金后，在规定期限内通知银行卡直发。银行打卡后自动将信息发至申请人手机号，打卡人员、打卡时间、打卡金额等信息应与平台自动对接。</w:t>
      </w:r>
    </w:p>
    <w:bookmarkEnd w:id="346"/>
    <w:p>
      <w:pPr>
        <w:pStyle w:val="57"/>
        <w:ind w:firstLine="0" w:firstLineChars="0"/>
        <w:jc w:val="center"/>
      </w:pPr>
      <w:bookmarkStart w:id="456" w:name="BookMark8"/>
      <w:r>
        <w:drawing>
          <wp:inline distT="0" distB="0" distL="0" distR="0">
            <wp:extent cx="1485900" cy="31750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23"/>
                    <a:stretch>
                      <a:fillRect/>
                    </a:stretch>
                  </pic:blipFill>
                  <pic:spPr>
                    <a:xfrm>
                      <a:off x="0" y="0"/>
                      <a:ext cx="1485900" cy="317500"/>
                    </a:xfrm>
                    <a:prstGeom prst="rect">
                      <a:avLst/>
                    </a:prstGeom>
                  </pic:spPr>
                </pic:pic>
              </a:graphicData>
            </a:graphic>
          </wp:inline>
        </w:drawing>
      </w:r>
      <w:bookmarkEnd w:id="456"/>
    </w:p>
    <w:sectPr>
      <w:pgSz w:w="11906" w:h="16838"/>
      <w:pgMar w:top="1871" w:right="1134" w:bottom="1134" w:left="1134" w:header="1418" w:footer="1134" w:gutter="284"/>
      <w:cols w:space="425"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等线">
    <w:altName w:val="微软雅黑"/>
    <w:panose1 w:val="00000000000000000000"/>
    <w:charset w:val="86"/>
    <w:family w:val="auto"/>
    <w:pitch w:val="default"/>
    <w:sig w:usb0="00000000" w:usb1="00000000" w:usb2="00000016" w:usb3="00000000" w:csb0="0004000F" w:csb1="00000000"/>
  </w:font>
  <w:font w:name="等线 Light">
    <w:altName w:val="宋体"/>
    <w:panose1 w:val="00000000000000000000"/>
    <w:charset w:val="86"/>
    <w:family w:val="auto"/>
    <w:pitch w:val="default"/>
    <w:sig w:usb0="00000000" w:usb1="00000000" w:usb2="00000016" w:usb3="00000000" w:csb0="0004000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II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4</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8</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DBXXXXXXX—XXXX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DBXXXXXXX—XXXX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DBXXXXXXX—XXXX</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DBXXXXXXX—XXXX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multilevel"/>
    <w:tmpl w:val="02837933"/>
    <w:lvl w:ilvl="0" w:tentative="0">
      <w:start w:val="1"/>
      <w:numFmt w:val="decimal"/>
      <w:pStyle w:val="65"/>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0"/>
      <w:suff w:val="nothing"/>
      <w:lvlText w:val="%1%2.%3　"/>
      <w:lvlJc w:val="left"/>
      <w:pPr>
        <w:ind w:left="0" w:firstLine="0"/>
      </w:pPr>
    </w:lvl>
    <w:lvl w:ilvl="3" w:tentative="0">
      <w:start w:val="1"/>
      <w:numFmt w:val="decimal"/>
      <w:pStyle w:val="119"/>
      <w:suff w:val="nothing"/>
      <w:lvlText w:val="%1%2.%3.%4　"/>
      <w:lvlJc w:val="left"/>
      <w:pPr>
        <w:ind w:left="0" w:firstLine="0"/>
      </w:pPr>
    </w:lvl>
    <w:lvl w:ilvl="4" w:tentative="0">
      <w:start w:val="1"/>
      <w:numFmt w:val="decimal"/>
      <w:pStyle w:val="154"/>
      <w:suff w:val="nothing"/>
      <w:lvlText w:val="%1%2.%3.%4.%5　"/>
      <w:lvlJc w:val="left"/>
      <w:pPr>
        <w:ind w:left="0" w:firstLine="0"/>
      </w:pPr>
    </w:lvl>
    <w:lvl w:ilvl="5" w:tentative="0">
      <w:start w:val="1"/>
      <w:numFmt w:val="decimal"/>
      <w:pStyle w:val="156"/>
      <w:suff w:val="nothing"/>
      <w:lvlText w:val="%1%2.%3.%4.%5.%6　"/>
      <w:lvlJc w:val="left"/>
      <w:pPr>
        <w:ind w:left="0" w:firstLine="0"/>
      </w:pPr>
    </w:lvl>
    <w:lvl w:ilvl="6" w:tentative="0">
      <w:start w:val="1"/>
      <w:numFmt w:val="decimal"/>
      <w:pStyle w:val="159"/>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1"/>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0"/>
      <w:lvlText w:val="%1"/>
      <w:lvlJc w:val="left"/>
      <w:pPr>
        <w:ind w:left="425" w:hanging="425"/>
      </w:pPr>
      <w:rPr>
        <w:rFonts w:hint="eastAsia"/>
      </w:rPr>
    </w:lvl>
    <w:lvl w:ilvl="1" w:tentative="0">
      <w:start w:val="1"/>
      <w:numFmt w:val="decimal"/>
      <w:pStyle w:val="201"/>
      <w:suff w:val="nothing"/>
      <w:lvlText w:val="%10.%2 "/>
      <w:lvlJc w:val="left"/>
      <w:pPr>
        <w:ind w:left="0" w:firstLine="0"/>
      </w:pPr>
      <w:rPr>
        <w:rFonts w:hint="eastAsia" w:ascii="黑体" w:eastAsia="黑体" w:hAnsiTheme="minorHAnsi"/>
        <w:b w:val="0"/>
        <w:i w:val="0"/>
        <w:sz w:val="21"/>
      </w:rPr>
    </w:lvl>
    <w:lvl w:ilvl="2" w:tentative="0">
      <w:start w:val="1"/>
      <w:numFmt w:val="decimal"/>
      <w:pStyle w:val="202"/>
      <w:suff w:val="nothing"/>
      <w:lvlText w:val="%10.%2.%3 "/>
      <w:lvlJc w:val="left"/>
      <w:pPr>
        <w:ind w:left="0" w:firstLine="0"/>
      </w:pPr>
      <w:rPr>
        <w:rFonts w:hint="eastAsia" w:ascii="黑体" w:eastAsia="黑体" w:hAnsiTheme="minorHAnsi"/>
        <w:b w:val="0"/>
        <w:i w:val="0"/>
        <w:sz w:val="21"/>
      </w:rPr>
    </w:lvl>
    <w:lvl w:ilvl="3" w:tentative="0">
      <w:start w:val="1"/>
      <w:numFmt w:val="decimal"/>
      <w:pStyle w:val="203"/>
      <w:suff w:val="nothing"/>
      <w:lvlText w:val="%10.%2.%3.%4 "/>
      <w:lvlJc w:val="left"/>
      <w:pPr>
        <w:ind w:left="0" w:firstLine="0"/>
      </w:pPr>
      <w:rPr>
        <w:rFonts w:hint="eastAsia" w:ascii="黑体" w:eastAsia="黑体" w:hAnsiTheme="minorHAnsi"/>
        <w:b w:val="0"/>
        <w:i w:val="0"/>
        <w:sz w:val="21"/>
      </w:rPr>
    </w:lvl>
    <w:lvl w:ilvl="4" w:tentative="0">
      <w:start w:val="1"/>
      <w:numFmt w:val="decimal"/>
      <w:pStyle w:val="204"/>
      <w:suff w:val="nothing"/>
      <w:lvlText w:val="%10.%2.%3.%4.%5 "/>
      <w:lvlJc w:val="left"/>
      <w:pPr>
        <w:ind w:left="0" w:firstLine="0"/>
      </w:pPr>
      <w:rPr>
        <w:rFonts w:hint="eastAsia" w:ascii="黑体" w:eastAsia="黑体" w:hAnsiTheme="minorHAnsi"/>
        <w:b w:val="0"/>
        <w:i w:val="0"/>
        <w:sz w:val="21"/>
      </w:rPr>
    </w:lvl>
    <w:lvl w:ilvl="5" w:tentative="0">
      <w:start w:val="1"/>
      <w:numFmt w:val="decimal"/>
      <w:pStyle w:val="205"/>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2"/>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8"/>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1"/>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6"/>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3"/>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3"/>
      <w:lvlText w:val="%1——"/>
      <w:lvlJc w:val="left"/>
      <w:pPr>
        <w:tabs>
          <w:tab w:val="left" w:pos="851"/>
        </w:tabs>
        <w:ind w:left="851" w:hanging="426"/>
      </w:pPr>
      <w:rPr>
        <w:rFonts w:hint="eastAsia" w:ascii="宋体" w:hAnsi="Times New Roman" w:eastAsia="宋体"/>
        <w:b w:val="0"/>
        <w:i w:val="0"/>
        <w:sz w:val="21"/>
        <w:lang w:val="en-US"/>
      </w:rPr>
    </w:lvl>
    <w:lvl w:ilvl="1" w:tentative="0">
      <w:start w:val="1"/>
      <w:numFmt w:val="none"/>
      <w:pStyle w:val="188"/>
      <w:lvlText w:val=""/>
      <w:lvlJc w:val="left"/>
      <w:pPr>
        <w:ind w:left="851" w:hanging="431"/>
      </w:pPr>
      <w:rPr>
        <w:rFonts w:hint="default" w:ascii="Symbol" w:hAnsi="Symbol"/>
        <w:sz w:val="21"/>
      </w:rPr>
    </w:lvl>
    <w:lvl w:ilvl="2" w:tentative="0">
      <w:start w:val="1"/>
      <w:numFmt w:val="bullet"/>
      <w:pStyle w:val="173"/>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2"/>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5"/>
      <w:lvlText w:val="%1)"/>
      <w:lvlJc w:val="left"/>
      <w:pPr>
        <w:tabs>
          <w:tab w:val="left" w:pos="851"/>
        </w:tabs>
        <w:ind w:left="851" w:hanging="426"/>
      </w:pPr>
      <w:rPr>
        <w:rFonts w:hint="eastAsia" w:ascii="宋体" w:hAnsi="Times New Roman" w:eastAsia="宋体"/>
        <w:color w:val="000000" w:themeColor="text1"/>
        <w:sz w:val="21"/>
      </w:rPr>
    </w:lvl>
    <w:lvl w:ilvl="1" w:tentative="0">
      <w:start w:val="1"/>
      <w:numFmt w:val="decimal"/>
      <w:pStyle w:val="110"/>
      <w:lvlText w:val="%2)"/>
      <w:lvlJc w:val="left"/>
      <w:pPr>
        <w:tabs>
          <w:tab w:val="left" w:pos="1276"/>
        </w:tabs>
        <w:ind w:left="1276" w:hanging="425"/>
      </w:pPr>
      <w:rPr>
        <w:rFonts w:hint="eastAsia" w:ascii="宋体" w:hAnsi="Times New Roman" w:eastAsia="宋体"/>
        <w:sz w:val="21"/>
      </w:rPr>
    </w:lvl>
    <w:lvl w:ilvl="2" w:tentative="0">
      <w:start w:val="1"/>
      <w:numFmt w:val="decimal"/>
      <w:pStyle w:val="118"/>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9"/>
      <w:lvlText w:val="%1"/>
      <w:lvlJc w:val="left"/>
      <w:pPr>
        <w:ind w:left="420" w:hanging="420"/>
      </w:pPr>
      <w:rPr>
        <w:rFonts w:hint="eastAsia"/>
      </w:rPr>
    </w:lvl>
    <w:lvl w:ilvl="1" w:tentative="0">
      <w:start w:val="1"/>
      <w:numFmt w:val="decimal"/>
      <w:pStyle w:val="84"/>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4"/>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7"/>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4"/>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5"/>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0"/>
      <w:suff w:val="space"/>
      <w:lvlText w:val="%1"/>
      <w:lvlJc w:val="left"/>
      <w:pPr>
        <w:ind w:left="425" w:hanging="425"/>
      </w:pPr>
      <w:rPr>
        <w:rFonts w:hint="eastAsia"/>
      </w:rPr>
    </w:lvl>
    <w:lvl w:ilvl="1" w:tentative="0">
      <w:start w:val="1"/>
      <w:numFmt w:val="decimal"/>
      <w:pStyle w:val="78"/>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2"/>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3"/>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0"/>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7"/>
      <w:suff w:val="nothing"/>
      <w:lvlText w:val="附录%1"/>
      <w:lvlJc w:val="left"/>
      <w:pPr>
        <w:ind w:left="0" w:firstLine="0"/>
      </w:pPr>
      <w:rPr>
        <w:rFonts w:hint="eastAsia"/>
        <w:spacing w:val="100"/>
      </w:rPr>
    </w:lvl>
    <w:lvl w:ilvl="1" w:tentative="0">
      <w:start w:val="1"/>
      <w:numFmt w:val="decimal"/>
      <w:pStyle w:val="79"/>
      <w:suff w:val="nothing"/>
      <w:lvlText w:val="%1.%2　"/>
      <w:lvlJc w:val="left"/>
      <w:pPr>
        <w:ind w:left="0" w:firstLine="0"/>
      </w:pPr>
      <w:rPr>
        <w:rFonts w:hint="eastAsia" w:ascii="黑体" w:eastAsia="黑体"/>
        <w:b w:val="0"/>
        <w:i w:val="0"/>
        <w:sz w:val="21"/>
      </w:rPr>
    </w:lvl>
    <w:lvl w:ilvl="2" w:tentative="0">
      <w:start w:val="1"/>
      <w:numFmt w:val="decimal"/>
      <w:pStyle w:val="80"/>
      <w:suff w:val="nothing"/>
      <w:lvlText w:val="%1.%2.%3　"/>
      <w:lvlJc w:val="left"/>
      <w:pPr>
        <w:ind w:left="0" w:firstLine="0"/>
      </w:pPr>
      <w:rPr>
        <w:rFonts w:hint="eastAsia" w:ascii="黑体" w:eastAsia="黑体"/>
        <w:b w:val="0"/>
        <w:i w:val="0"/>
        <w:sz w:val="21"/>
      </w:rPr>
    </w:lvl>
    <w:lvl w:ilvl="3" w:tentative="0">
      <w:start w:val="1"/>
      <w:numFmt w:val="decimal"/>
      <w:pStyle w:val="82"/>
      <w:suff w:val="nothing"/>
      <w:lvlText w:val="%1.%2.%3.%4　"/>
      <w:lvlJc w:val="left"/>
      <w:pPr>
        <w:ind w:left="0" w:firstLine="0"/>
      </w:pPr>
      <w:rPr>
        <w:rFonts w:hint="eastAsia" w:ascii="黑体" w:eastAsia="黑体"/>
        <w:b w:val="0"/>
        <w:i w:val="0"/>
        <w:sz w:val="21"/>
      </w:rPr>
    </w:lvl>
    <w:lvl w:ilvl="4" w:tentative="0">
      <w:start w:val="1"/>
      <w:numFmt w:val="decimal"/>
      <w:pStyle w:val="83"/>
      <w:suff w:val="nothing"/>
      <w:lvlText w:val="%1.%2.%3.%4.%5　"/>
      <w:lvlJc w:val="left"/>
      <w:pPr>
        <w:ind w:left="0" w:firstLine="0"/>
      </w:pPr>
      <w:rPr>
        <w:rFonts w:hint="eastAsia" w:ascii="黑体" w:eastAsia="黑体"/>
        <w:b w:val="0"/>
        <w:i w:val="0"/>
        <w:sz w:val="21"/>
      </w:rPr>
    </w:lvl>
    <w:lvl w:ilvl="5" w:tentative="0">
      <w:start w:val="1"/>
      <w:numFmt w:val="decimal"/>
      <w:pStyle w:val="85"/>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9"/>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8"/>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4"/>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3"/>
      <w:suff w:val="nothing"/>
      <w:lvlText w:val="%1"/>
      <w:lvlJc w:val="left"/>
      <w:pPr>
        <w:ind w:left="0" w:firstLine="0"/>
      </w:pPr>
      <w:rPr>
        <w:rFonts w:hint="eastAsia"/>
      </w:rPr>
    </w:lvl>
    <w:lvl w:ilvl="1" w:tentative="0">
      <w:start w:val="1"/>
      <w:numFmt w:val="decimal"/>
      <w:pStyle w:val="105"/>
      <w:suff w:val="nothing"/>
      <w:lvlText w:val="%1%2　"/>
      <w:lvlJc w:val="left"/>
      <w:pPr>
        <w:ind w:left="0" w:firstLine="0"/>
      </w:pPr>
      <w:rPr>
        <w:rFonts w:hint="eastAsia" w:ascii="黑体" w:eastAsia="黑体"/>
        <w:b w:val="0"/>
        <w:i w:val="0"/>
        <w:sz w:val="21"/>
      </w:rPr>
    </w:lvl>
    <w:lvl w:ilvl="2" w:tentative="0">
      <w:start w:val="1"/>
      <w:numFmt w:val="decimal"/>
      <w:pStyle w:val="106"/>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66"/>
      <w:suff w:val="nothing"/>
      <w:lvlText w:val="%1%2.%3.%4　"/>
      <w:lvlJc w:val="left"/>
      <w:pPr>
        <w:ind w:left="142" w:firstLine="0"/>
      </w:pPr>
      <w:rPr>
        <w:rFonts w:hint="eastAsia" w:ascii="黑体" w:eastAsia="黑体"/>
        <w:b w:val="0"/>
        <w:i w:val="0"/>
        <w:color w:val="000000" w:themeColor="text1"/>
        <w:sz w:val="21"/>
      </w:rPr>
    </w:lvl>
    <w:lvl w:ilvl="4" w:tentative="0">
      <w:start w:val="1"/>
      <w:numFmt w:val="decimal"/>
      <w:pStyle w:val="95"/>
      <w:suff w:val="nothing"/>
      <w:lvlText w:val="%1%2.%3.%4.%5　"/>
      <w:lvlJc w:val="left"/>
      <w:pPr>
        <w:ind w:left="0" w:firstLine="0"/>
      </w:pPr>
      <w:rPr>
        <w:rFonts w:hint="eastAsia" w:ascii="黑体" w:eastAsia="黑体"/>
        <w:b w:val="0"/>
        <w:i w:val="0"/>
        <w:color w:val="000000" w:themeColor="text1"/>
        <w:sz w:val="21"/>
      </w:rPr>
    </w:lvl>
    <w:lvl w:ilvl="5" w:tentative="0">
      <w:start w:val="1"/>
      <w:numFmt w:val="decimal"/>
      <w:pStyle w:val="99"/>
      <w:suff w:val="nothing"/>
      <w:lvlText w:val="%1%2.%3.%4.%5.%6　"/>
      <w:lvlJc w:val="left"/>
      <w:pPr>
        <w:ind w:left="0" w:firstLine="0"/>
      </w:pPr>
      <w:rPr>
        <w:rFonts w:hint="eastAsia" w:ascii="黑体" w:eastAsia="黑体"/>
        <w:b w:val="0"/>
        <w:i w:val="0"/>
        <w:sz w:val="21"/>
      </w:rPr>
    </w:lvl>
    <w:lvl w:ilvl="6" w:tentative="0">
      <w:start w:val="1"/>
      <w:numFmt w:val="decimal"/>
      <w:pStyle w:val="104"/>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0"/>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6"/>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0"/>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attachedTemplate r:id="rId1"/>
  <w:documentProtection w:edit="forms" w:enforcement="1" w:cryptProviderType="rsaFull" w:cryptAlgorithmClass="hash" w:cryptAlgorithmType="typeAny" w:cryptAlgorithmSid="4" w:cryptSpinCount="50000" w:hash="SXPhJXlz+cMvoOfrY9nzqCTMIRk=" w:salt="Rc1fkFQTgXuzYbdycwuBkQ=="/>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59"/>
    <w:rsid w:val="0000040A"/>
    <w:rsid w:val="00000A94"/>
    <w:rsid w:val="00000FED"/>
    <w:rsid w:val="00001972"/>
    <w:rsid w:val="00001D9A"/>
    <w:rsid w:val="00002439"/>
    <w:rsid w:val="00005737"/>
    <w:rsid w:val="00005B63"/>
    <w:rsid w:val="00007543"/>
    <w:rsid w:val="00007B3A"/>
    <w:rsid w:val="00010308"/>
    <w:rsid w:val="000106ED"/>
    <w:rsid w:val="000107E0"/>
    <w:rsid w:val="00011FDE"/>
    <w:rsid w:val="000127D9"/>
    <w:rsid w:val="00012981"/>
    <w:rsid w:val="00012FFD"/>
    <w:rsid w:val="00013B0F"/>
    <w:rsid w:val="00014162"/>
    <w:rsid w:val="00014340"/>
    <w:rsid w:val="00016A9C"/>
    <w:rsid w:val="000202A8"/>
    <w:rsid w:val="00022184"/>
    <w:rsid w:val="00022762"/>
    <w:rsid w:val="000238E0"/>
    <w:rsid w:val="000249DB"/>
    <w:rsid w:val="00024FFC"/>
    <w:rsid w:val="0002595E"/>
    <w:rsid w:val="000303C3"/>
    <w:rsid w:val="000309C6"/>
    <w:rsid w:val="00031E9D"/>
    <w:rsid w:val="000331D3"/>
    <w:rsid w:val="000346A5"/>
    <w:rsid w:val="00034BEE"/>
    <w:rsid w:val="000359C3"/>
    <w:rsid w:val="00035A7D"/>
    <w:rsid w:val="000365ED"/>
    <w:rsid w:val="00036748"/>
    <w:rsid w:val="00040C62"/>
    <w:rsid w:val="00041234"/>
    <w:rsid w:val="0004249A"/>
    <w:rsid w:val="00043282"/>
    <w:rsid w:val="00044286"/>
    <w:rsid w:val="0004769E"/>
    <w:rsid w:val="00047F28"/>
    <w:rsid w:val="000503AA"/>
    <w:rsid w:val="000506A1"/>
    <w:rsid w:val="00050967"/>
    <w:rsid w:val="000515DD"/>
    <w:rsid w:val="00051623"/>
    <w:rsid w:val="0005265A"/>
    <w:rsid w:val="000539DD"/>
    <w:rsid w:val="00053BD3"/>
    <w:rsid w:val="00054617"/>
    <w:rsid w:val="000556ED"/>
    <w:rsid w:val="00055FE2"/>
    <w:rsid w:val="0005616F"/>
    <w:rsid w:val="0005779C"/>
    <w:rsid w:val="00060C2E"/>
    <w:rsid w:val="00061033"/>
    <w:rsid w:val="000619E9"/>
    <w:rsid w:val="000622D4"/>
    <w:rsid w:val="000628D1"/>
    <w:rsid w:val="0006357D"/>
    <w:rsid w:val="00066C9A"/>
    <w:rsid w:val="00067F1E"/>
    <w:rsid w:val="0007128D"/>
    <w:rsid w:val="00071CC0"/>
    <w:rsid w:val="00073002"/>
    <w:rsid w:val="0007376E"/>
    <w:rsid w:val="00073C8C"/>
    <w:rsid w:val="00074E3A"/>
    <w:rsid w:val="00077B64"/>
    <w:rsid w:val="00080A1C"/>
    <w:rsid w:val="00081ECB"/>
    <w:rsid w:val="00082317"/>
    <w:rsid w:val="00083B15"/>
    <w:rsid w:val="00083D2C"/>
    <w:rsid w:val="0008456C"/>
    <w:rsid w:val="00086AA1"/>
    <w:rsid w:val="00086B9B"/>
    <w:rsid w:val="00087A77"/>
    <w:rsid w:val="0009090B"/>
    <w:rsid w:val="00090CA6"/>
    <w:rsid w:val="0009119F"/>
    <w:rsid w:val="00092B8A"/>
    <w:rsid w:val="00092FB0"/>
    <w:rsid w:val="000934C5"/>
    <w:rsid w:val="00093D25"/>
    <w:rsid w:val="00093DAB"/>
    <w:rsid w:val="00094D73"/>
    <w:rsid w:val="00095438"/>
    <w:rsid w:val="000961E4"/>
    <w:rsid w:val="00096B91"/>
    <w:rsid w:val="00096D63"/>
    <w:rsid w:val="000A01C0"/>
    <w:rsid w:val="000A0B60"/>
    <w:rsid w:val="000A0EB8"/>
    <w:rsid w:val="000A19FC"/>
    <w:rsid w:val="000A1EF9"/>
    <w:rsid w:val="000A296B"/>
    <w:rsid w:val="000A7311"/>
    <w:rsid w:val="000A7E35"/>
    <w:rsid w:val="000B060F"/>
    <w:rsid w:val="000B127A"/>
    <w:rsid w:val="000B1592"/>
    <w:rsid w:val="000B1FF2"/>
    <w:rsid w:val="000B2EA8"/>
    <w:rsid w:val="000B3CDA"/>
    <w:rsid w:val="000B6A0B"/>
    <w:rsid w:val="000B71AB"/>
    <w:rsid w:val="000C0F6C"/>
    <w:rsid w:val="000C11DB"/>
    <w:rsid w:val="000C1492"/>
    <w:rsid w:val="000C2FBD"/>
    <w:rsid w:val="000C4B41"/>
    <w:rsid w:val="000C57D6"/>
    <w:rsid w:val="000C6362"/>
    <w:rsid w:val="000C75FF"/>
    <w:rsid w:val="000C7666"/>
    <w:rsid w:val="000D0A9C"/>
    <w:rsid w:val="000D1795"/>
    <w:rsid w:val="000D20B5"/>
    <w:rsid w:val="000D20ED"/>
    <w:rsid w:val="000D329A"/>
    <w:rsid w:val="000D3EB3"/>
    <w:rsid w:val="000D4B9C"/>
    <w:rsid w:val="000D4EB6"/>
    <w:rsid w:val="000D5C77"/>
    <w:rsid w:val="000D73FE"/>
    <w:rsid w:val="000D753B"/>
    <w:rsid w:val="000E1A34"/>
    <w:rsid w:val="000E1A98"/>
    <w:rsid w:val="000E4C9E"/>
    <w:rsid w:val="000E6FD7"/>
    <w:rsid w:val="000E7F78"/>
    <w:rsid w:val="000F06E1"/>
    <w:rsid w:val="000F0E3C"/>
    <w:rsid w:val="000F19D5"/>
    <w:rsid w:val="000F2747"/>
    <w:rsid w:val="000F2E91"/>
    <w:rsid w:val="000F4AEA"/>
    <w:rsid w:val="000F67E9"/>
    <w:rsid w:val="00104926"/>
    <w:rsid w:val="001050F7"/>
    <w:rsid w:val="0010777F"/>
    <w:rsid w:val="00110964"/>
    <w:rsid w:val="0011181C"/>
    <w:rsid w:val="00111CA9"/>
    <w:rsid w:val="00112074"/>
    <w:rsid w:val="00113B1E"/>
    <w:rsid w:val="0011401A"/>
    <w:rsid w:val="00114770"/>
    <w:rsid w:val="00114D69"/>
    <w:rsid w:val="001153DD"/>
    <w:rsid w:val="0011711C"/>
    <w:rsid w:val="00117CE3"/>
    <w:rsid w:val="00124121"/>
    <w:rsid w:val="001244A2"/>
    <w:rsid w:val="00124E4F"/>
    <w:rsid w:val="001260B7"/>
    <w:rsid w:val="001265CB"/>
    <w:rsid w:val="001321C6"/>
    <w:rsid w:val="001325C4"/>
    <w:rsid w:val="00133010"/>
    <w:rsid w:val="001338EE"/>
    <w:rsid w:val="00133AAE"/>
    <w:rsid w:val="00135323"/>
    <w:rsid w:val="001356C4"/>
    <w:rsid w:val="00136821"/>
    <w:rsid w:val="001400DD"/>
    <w:rsid w:val="001407EC"/>
    <w:rsid w:val="00141114"/>
    <w:rsid w:val="00141AEB"/>
    <w:rsid w:val="00142969"/>
    <w:rsid w:val="001446C2"/>
    <w:rsid w:val="001457E7"/>
    <w:rsid w:val="00145D9D"/>
    <w:rsid w:val="00146015"/>
    <w:rsid w:val="001460FD"/>
    <w:rsid w:val="00146388"/>
    <w:rsid w:val="00147DEB"/>
    <w:rsid w:val="00150E05"/>
    <w:rsid w:val="00151BCE"/>
    <w:rsid w:val="00152866"/>
    <w:rsid w:val="001529E5"/>
    <w:rsid w:val="00153C7E"/>
    <w:rsid w:val="00153DF7"/>
    <w:rsid w:val="001563EE"/>
    <w:rsid w:val="00156B25"/>
    <w:rsid w:val="00156E1A"/>
    <w:rsid w:val="00157894"/>
    <w:rsid w:val="00157984"/>
    <w:rsid w:val="00157B55"/>
    <w:rsid w:val="001629C8"/>
    <w:rsid w:val="001642FA"/>
    <w:rsid w:val="001649EB"/>
    <w:rsid w:val="00164BAF"/>
    <w:rsid w:val="00164FA8"/>
    <w:rsid w:val="00165065"/>
    <w:rsid w:val="00165434"/>
    <w:rsid w:val="0016580B"/>
    <w:rsid w:val="00165F49"/>
    <w:rsid w:val="0016677B"/>
    <w:rsid w:val="00166B88"/>
    <w:rsid w:val="0016770A"/>
    <w:rsid w:val="00170804"/>
    <w:rsid w:val="001708E9"/>
    <w:rsid w:val="00172C80"/>
    <w:rsid w:val="0017340B"/>
    <w:rsid w:val="00173FB1"/>
    <w:rsid w:val="001765E4"/>
    <w:rsid w:val="00176DFD"/>
    <w:rsid w:val="00177544"/>
    <w:rsid w:val="00181E4E"/>
    <w:rsid w:val="0018259D"/>
    <w:rsid w:val="00182E1F"/>
    <w:rsid w:val="0018334E"/>
    <w:rsid w:val="0018493C"/>
    <w:rsid w:val="001852C9"/>
    <w:rsid w:val="00185A00"/>
    <w:rsid w:val="00190087"/>
    <w:rsid w:val="001913C4"/>
    <w:rsid w:val="0019348F"/>
    <w:rsid w:val="00193836"/>
    <w:rsid w:val="00193A07"/>
    <w:rsid w:val="00194C95"/>
    <w:rsid w:val="00194DB4"/>
    <w:rsid w:val="00195010"/>
    <w:rsid w:val="00195C34"/>
    <w:rsid w:val="00196EF5"/>
    <w:rsid w:val="001A192D"/>
    <w:rsid w:val="001A1A53"/>
    <w:rsid w:val="001A1BF9"/>
    <w:rsid w:val="001A234A"/>
    <w:rsid w:val="001A3714"/>
    <w:rsid w:val="001A4CF3"/>
    <w:rsid w:val="001A524D"/>
    <w:rsid w:val="001A5ABA"/>
    <w:rsid w:val="001A7A0A"/>
    <w:rsid w:val="001B06E8"/>
    <w:rsid w:val="001B1186"/>
    <w:rsid w:val="001B2E63"/>
    <w:rsid w:val="001B3581"/>
    <w:rsid w:val="001B4127"/>
    <w:rsid w:val="001B6F4E"/>
    <w:rsid w:val="001B71D0"/>
    <w:rsid w:val="001B71EE"/>
    <w:rsid w:val="001B75AB"/>
    <w:rsid w:val="001C04A8"/>
    <w:rsid w:val="001C1F81"/>
    <w:rsid w:val="001C2C03"/>
    <w:rsid w:val="001C42F7"/>
    <w:rsid w:val="001C49E5"/>
    <w:rsid w:val="001C5602"/>
    <w:rsid w:val="001C680C"/>
    <w:rsid w:val="001C6972"/>
    <w:rsid w:val="001C69B2"/>
    <w:rsid w:val="001C7FEA"/>
    <w:rsid w:val="001D0224"/>
    <w:rsid w:val="001D0499"/>
    <w:rsid w:val="001D0BBE"/>
    <w:rsid w:val="001D0ED4"/>
    <w:rsid w:val="001D212F"/>
    <w:rsid w:val="001D29D7"/>
    <w:rsid w:val="001D2DE7"/>
    <w:rsid w:val="001D3247"/>
    <w:rsid w:val="001D411C"/>
    <w:rsid w:val="001D569F"/>
    <w:rsid w:val="001D717F"/>
    <w:rsid w:val="001E1B6A"/>
    <w:rsid w:val="001E2484"/>
    <w:rsid w:val="001E27A2"/>
    <w:rsid w:val="001E2E6B"/>
    <w:rsid w:val="001E3CC4"/>
    <w:rsid w:val="001E4882"/>
    <w:rsid w:val="001E55B7"/>
    <w:rsid w:val="001E73AB"/>
    <w:rsid w:val="001E7EAA"/>
    <w:rsid w:val="001F092D"/>
    <w:rsid w:val="001F143A"/>
    <w:rsid w:val="001F1605"/>
    <w:rsid w:val="001F2508"/>
    <w:rsid w:val="001F3A90"/>
    <w:rsid w:val="001F41A2"/>
    <w:rsid w:val="001F4816"/>
    <w:rsid w:val="001F69B4"/>
    <w:rsid w:val="001F77C7"/>
    <w:rsid w:val="00200183"/>
    <w:rsid w:val="00200333"/>
    <w:rsid w:val="00200848"/>
    <w:rsid w:val="0020107D"/>
    <w:rsid w:val="00202AA4"/>
    <w:rsid w:val="002031F7"/>
    <w:rsid w:val="002040E6"/>
    <w:rsid w:val="00205159"/>
    <w:rsid w:val="0020527B"/>
    <w:rsid w:val="00205F2C"/>
    <w:rsid w:val="00210B15"/>
    <w:rsid w:val="002111C9"/>
    <w:rsid w:val="00211B9C"/>
    <w:rsid w:val="0021364D"/>
    <w:rsid w:val="00213713"/>
    <w:rsid w:val="002142EA"/>
    <w:rsid w:val="0021786F"/>
    <w:rsid w:val="002204BB"/>
    <w:rsid w:val="002213B7"/>
    <w:rsid w:val="00221B79"/>
    <w:rsid w:val="00221C6B"/>
    <w:rsid w:val="002253A1"/>
    <w:rsid w:val="00225CF8"/>
    <w:rsid w:val="00227757"/>
    <w:rsid w:val="0022794E"/>
    <w:rsid w:val="002326C1"/>
    <w:rsid w:val="00233D64"/>
    <w:rsid w:val="00233E26"/>
    <w:rsid w:val="0023482A"/>
    <w:rsid w:val="002359CB"/>
    <w:rsid w:val="002363CC"/>
    <w:rsid w:val="00241DB6"/>
    <w:rsid w:val="00242CCF"/>
    <w:rsid w:val="00243540"/>
    <w:rsid w:val="002448D0"/>
    <w:rsid w:val="0024497B"/>
    <w:rsid w:val="0024515B"/>
    <w:rsid w:val="00246021"/>
    <w:rsid w:val="00246263"/>
    <w:rsid w:val="0024666E"/>
    <w:rsid w:val="002479A4"/>
    <w:rsid w:val="00247B1B"/>
    <w:rsid w:val="00247E89"/>
    <w:rsid w:val="00247F52"/>
    <w:rsid w:val="00250B25"/>
    <w:rsid w:val="00250BBE"/>
    <w:rsid w:val="002515C2"/>
    <w:rsid w:val="0025194F"/>
    <w:rsid w:val="002533CD"/>
    <w:rsid w:val="002546E6"/>
    <w:rsid w:val="00255865"/>
    <w:rsid w:val="00256B27"/>
    <w:rsid w:val="00257471"/>
    <w:rsid w:val="00260F8B"/>
    <w:rsid w:val="0026148A"/>
    <w:rsid w:val="00262696"/>
    <w:rsid w:val="002634CB"/>
    <w:rsid w:val="00263651"/>
    <w:rsid w:val="00263D25"/>
    <w:rsid w:val="002643C3"/>
    <w:rsid w:val="00264A0C"/>
    <w:rsid w:val="00266440"/>
    <w:rsid w:val="00266EEB"/>
    <w:rsid w:val="00267EF4"/>
    <w:rsid w:val="00270CB8"/>
    <w:rsid w:val="00272B08"/>
    <w:rsid w:val="002772AA"/>
    <w:rsid w:val="00280807"/>
    <w:rsid w:val="00281BB8"/>
    <w:rsid w:val="00281E95"/>
    <w:rsid w:val="00281E9E"/>
    <w:rsid w:val="0028219B"/>
    <w:rsid w:val="00282405"/>
    <w:rsid w:val="00282DB5"/>
    <w:rsid w:val="0028421B"/>
    <w:rsid w:val="00285170"/>
    <w:rsid w:val="00285361"/>
    <w:rsid w:val="002929E2"/>
    <w:rsid w:val="00292D60"/>
    <w:rsid w:val="00293B30"/>
    <w:rsid w:val="00294D34"/>
    <w:rsid w:val="00294E3B"/>
    <w:rsid w:val="00296193"/>
    <w:rsid w:val="00296C66"/>
    <w:rsid w:val="00296EBE"/>
    <w:rsid w:val="002974E3"/>
    <w:rsid w:val="002A084B"/>
    <w:rsid w:val="002A0D95"/>
    <w:rsid w:val="002A1260"/>
    <w:rsid w:val="002A1589"/>
    <w:rsid w:val="002A1608"/>
    <w:rsid w:val="002A16F9"/>
    <w:rsid w:val="002A2321"/>
    <w:rsid w:val="002A25DC"/>
    <w:rsid w:val="002A3AAB"/>
    <w:rsid w:val="002A4CEA"/>
    <w:rsid w:val="002A5977"/>
    <w:rsid w:val="002A5A13"/>
    <w:rsid w:val="002A6599"/>
    <w:rsid w:val="002A7448"/>
    <w:rsid w:val="002A757F"/>
    <w:rsid w:val="002A7F44"/>
    <w:rsid w:val="002B04C6"/>
    <w:rsid w:val="002B0C40"/>
    <w:rsid w:val="002B1966"/>
    <w:rsid w:val="002B331D"/>
    <w:rsid w:val="002B3E0B"/>
    <w:rsid w:val="002B3F71"/>
    <w:rsid w:val="002B41B8"/>
    <w:rsid w:val="002B4508"/>
    <w:rsid w:val="002B5779"/>
    <w:rsid w:val="002B6D92"/>
    <w:rsid w:val="002B7332"/>
    <w:rsid w:val="002B787C"/>
    <w:rsid w:val="002B7F51"/>
    <w:rsid w:val="002C09E7"/>
    <w:rsid w:val="002C1E06"/>
    <w:rsid w:val="002C3BED"/>
    <w:rsid w:val="002C3F07"/>
    <w:rsid w:val="002C5278"/>
    <w:rsid w:val="002C7EBB"/>
    <w:rsid w:val="002D00BE"/>
    <w:rsid w:val="002D0179"/>
    <w:rsid w:val="002D06C1"/>
    <w:rsid w:val="002D11E6"/>
    <w:rsid w:val="002D36C9"/>
    <w:rsid w:val="002D42B5"/>
    <w:rsid w:val="002D4F1A"/>
    <w:rsid w:val="002D6EC6"/>
    <w:rsid w:val="002D79AC"/>
    <w:rsid w:val="002E039D"/>
    <w:rsid w:val="002E4D5A"/>
    <w:rsid w:val="002E563C"/>
    <w:rsid w:val="002E6326"/>
    <w:rsid w:val="002E640B"/>
    <w:rsid w:val="002F0042"/>
    <w:rsid w:val="002F11D4"/>
    <w:rsid w:val="002F30E0"/>
    <w:rsid w:val="002F35E4"/>
    <w:rsid w:val="002F3730"/>
    <w:rsid w:val="002F38E1"/>
    <w:rsid w:val="002F399D"/>
    <w:rsid w:val="002F4E4C"/>
    <w:rsid w:val="002F733C"/>
    <w:rsid w:val="002F7941"/>
    <w:rsid w:val="002F7AF6"/>
    <w:rsid w:val="00300E63"/>
    <w:rsid w:val="003017E1"/>
    <w:rsid w:val="00301B02"/>
    <w:rsid w:val="0030297A"/>
    <w:rsid w:val="00302B1D"/>
    <w:rsid w:val="00302F5F"/>
    <w:rsid w:val="0030321B"/>
    <w:rsid w:val="0030441D"/>
    <w:rsid w:val="00306063"/>
    <w:rsid w:val="00306339"/>
    <w:rsid w:val="003076AB"/>
    <w:rsid w:val="00313B85"/>
    <w:rsid w:val="003145ED"/>
    <w:rsid w:val="003171EA"/>
    <w:rsid w:val="00317988"/>
    <w:rsid w:val="003179D7"/>
    <w:rsid w:val="00321469"/>
    <w:rsid w:val="003221B4"/>
    <w:rsid w:val="0032258D"/>
    <w:rsid w:val="00322847"/>
    <w:rsid w:val="00322E62"/>
    <w:rsid w:val="00324D13"/>
    <w:rsid w:val="00324EDD"/>
    <w:rsid w:val="00327A12"/>
    <w:rsid w:val="00327CD8"/>
    <w:rsid w:val="00332499"/>
    <w:rsid w:val="003331E4"/>
    <w:rsid w:val="003337DF"/>
    <w:rsid w:val="00334606"/>
    <w:rsid w:val="00334E8F"/>
    <w:rsid w:val="0033558F"/>
    <w:rsid w:val="00336C64"/>
    <w:rsid w:val="00337162"/>
    <w:rsid w:val="0034164D"/>
    <w:rsid w:val="0034194F"/>
    <w:rsid w:val="003423FF"/>
    <w:rsid w:val="003444C7"/>
    <w:rsid w:val="00344605"/>
    <w:rsid w:val="003447A2"/>
    <w:rsid w:val="00344BFD"/>
    <w:rsid w:val="0034628B"/>
    <w:rsid w:val="003474AA"/>
    <w:rsid w:val="00347CC3"/>
    <w:rsid w:val="00350D1D"/>
    <w:rsid w:val="00352C83"/>
    <w:rsid w:val="00356894"/>
    <w:rsid w:val="00357A3B"/>
    <w:rsid w:val="00360F6E"/>
    <w:rsid w:val="003612D5"/>
    <w:rsid w:val="003615D2"/>
    <w:rsid w:val="00361B9F"/>
    <w:rsid w:val="00361BB1"/>
    <w:rsid w:val="0036340C"/>
    <w:rsid w:val="0036429C"/>
    <w:rsid w:val="0036492C"/>
    <w:rsid w:val="00364A53"/>
    <w:rsid w:val="00365168"/>
    <w:rsid w:val="003654CB"/>
    <w:rsid w:val="003654E1"/>
    <w:rsid w:val="0036573E"/>
    <w:rsid w:val="00365AA9"/>
    <w:rsid w:val="00365F86"/>
    <w:rsid w:val="00365F87"/>
    <w:rsid w:val="00366E89"/>
    <w:rsid w:val="003705F4"/>
    <w:rsid w:val="00370D58"/>
    <w:rsid w:val="00371316"/>
    <w:rsid w:val="00371F08"/>
    <w:rsid w:val="00372CAC"/>
    <w:rsid w:val="00375CCC"/>
    <w:rsid w:val="00376713"/>
    <w:rsid w:val="0037702B"/>
    <w:rsid w:val="00381815"/>
    <w:rsid w:val="003819AF"/>
    <w:rsid w:val="003820E9"/>
    <w:rsid w:val="00382DBA"/>
    <w:rsid w:val="00382DE7"/>
    <w:rsid w:val="00382E94"/>
    <w:rsid w:val="00383468"/>
    <w:rsid w:val="00384FFC"/>
    <w:rsid w:val="003872FC"/>
    <w:rsid w:val="00387ADC"/>
    <w:rsid w:val="00390020"/>
    <w:rsid w:val="003903D6"/>
    <w:rsid w:val="00390EE6"/>
    <w:rsid w:val="0039118F"/>
    <w:rsid w:val="00391FAD"/>
    <w:rsid w:val="00392AD7"/>
    <w:rsid w:val="003938D9"/>
    <w:rsid w:val="00394376"/>
    <w:rsid w:val="003943FF"/>
    <w:rsid w:val="00396F43"/>
    <w:rsid w:val="003974EB"/>
    <w:rsid w:val="00397CC5"/>
    <w:rsid w:val="003A13FE"/>
    <w:rsid w:val="003A1582"/>
    <w:rsid w:val="003A4077"/>
    <w:rsid w:val="003A4C48"/>
    <w:rsid w:val="003B09AD"/>
    <w:rsid w:val="003B1F18"/>
    <w:rsid w:val="003B27A5"/>
    <w:rsid w:val="003B309F"/>
    <w:rsid w:val="003B3291"/>
    <w:rsid w:val="003B3AAC"/>
    <w:rsid w:val="003B5BF0"/>
    <w:rsid w:val="003B60BF"/>
    <w:rsid w:val="003B6741"/>
    <w:rsid w:val="003B6BE3"/>
    <w:rsid w:val="003C010C"/>
    <w:rsid w:val="003C0391"/>
    <w:rsid w:val="003C0A6C"/>
    <w:rsid w:val="003C14F8"/>
    <w:rsid w:val="003C1822"/>
    <w:rsid w:val="003C234F"/>
    <w:rsid w:val="003C2571"/>
    <w:rsid w:val="003C35EE"/>
    <w:rsid w:val="003C5A43"/>
    <w:rsid w:val="003D0519"/>
    <w:rsid w:val="003D0FF6"/>
    <w:rsid w:val="003D1927"/>
    <w:rsid w:val="003D1A82"/>
    <w:rsid w:val="003D1BC7"/>
    <w:rsid w:val="003D262C"/>
    <w:rsid w:val="003D3B94"/>
    <w:rsid w:val="003D4271"/>
    <w:rsid w:val="003D4D86"/>
    <w:rsid w:val="003D515B"/>
    <w:rsid w:val="003D664B"/>
    <w:rsid w:val="003D669C"/>
    <w:rsid w:val="003D6D61"/>
    <w:rsid w:val="003D783D"/>
    <w:rsid w:val="003D7B64"/>
    <w:rsid w:val="003E091D"/>
    <w:rsid w:val="003E1C53"/>
    <w:rsid w:val="003E2A69"/>
    <w:rsid w:val="003E2D49"/>
    <w:rsid w:val="003E2FD4"/>
    <w:rsid w:val="003E3A66"/>
    <w:rsid w:val="003E49F6"/>
    <w:rsid w:val="003E508D"/>
    <w:rsid w:val="003E660F"/>
    <w:rsid w:val="003E7CFB"/>
    <w:rsid w:val="003F0841"/>
    <w:rsid w:val="003F14BF"/>
    <w:rsid w:val="003F1A07"/>
    <w:rsid w:val="003F224F"/>
    <w:rsid w:val="003F23D3"/>
    <w:rsid w:val="003F2FFE"/>
    <w:rsid w:val="003F348C"/>
    <w:rsid w:val="003F3F08"/>
    <w:rsid w:val="003F49F1"/>
    <w:rsid w:val="003F50EC"/>
    <w:rsid w:val="003F6272"/>
    <w:rsid w:val="003F69A0"/>
    <w:rsid w:val="00400E72"/>
    <w:rsid w:val="00401400"/>
    <w:rsid w:val="00404869"/>
    <w:rsid w:val="004049DD"/>
    <w:rsid w:val="0040506E"/>
    <w:rsid w:val="00405884"/>
    <w:rsid w:val="00405E19"/>
    <w:rsid w:val="00407D39"/>
    <w:rsid w:val="004109C5"/>
    <w:rsid w:val="00410A2A"/>
    <w:rsid w:val="0041477A"/>
    <w:rsid w:val="00415FE1"/>
    <w:rsid w:val="004167A3"/>
    <w:rsid w:val="00431E69"/>
    <w:rsid w:val="00432DAA"/>
    <w:rsid w:val="0043300A"/>
    <w:rsid w:val="00434305"/>
    <w:rsid w:val="00435DB4"/>
    <w:rsid w:val="00435DF7"/>
    <w:rsid w:val="0043796D"/>
    <w:rsid w:val="0044083F"/>
    <w:rsid w:val="0044175B"/>
    <w:rsid w:val="004419D5"/>
    <w:rsid w:val="00441AE7"/>
    <w:rsid w:val="00445574"/>
    <w:rsid w:val="004467FB"/>
    <w:rsid w:val="004476D3"/>
    <w:rsid w:val="004479B8"/>
    <w:rsid w:val="004510E1"/>
    <w:rsid w:val="00452D6B"/>
    <w:rsid w:val="00452D82"/>
    <w:rsid w:val="0045358F"/>
    <w:rsid w:val="004538E8"/>
    <w:rsid w:val="004541E4"/>
    <w:rsid w:val="00454484"/>
    <w:rsid w:val="0045507E"/>
    <w:rsid w:val="0045517B"/>
    <w:rsid w:val="00456AA5"/>
    <w:rsid w:val="00457A06"/>
    <w:rsid w:val="0046052F"/>
    <w:rsid w:val="00462065"/>
    <w:rsid w:val="00463B77"/>
    <w:rsid w:val="00463C7B"/>
    <w:rsid w:val="004644A6"/>
    <w:rsid w:val="004659BD"/>
    <w:rsid w:val="00467C17"/>
    <w:rsid w:val="00467D7C"/>
    <w:rsid w:val="00470775"/>
    <w:rsid w:val="00470824"/>
    <w:rsid w:val="00471044"/>
    <w:rsid w:val="00473B84"/>
    <w:rsid w:val="004746B1"/>
    <w:rsid w:val="0047583F"/>
    <w:rsid w:val="00475DE8"/>
    <w:rsid w:val="00481C44"/>
    <w:rsid w:val="00482BE9"/>
    <w:rsid w:val="00482E25"/>
    <w:rsid w:val="00483986"/>
    <w:rsid w:val="00484936"/>
    <w:rsid w:val="0048544C"/>
    <w:rsid w:val="004856AA"/>
    <w:rsid w:val="00485A63"/>
    <w:rsid w:val="00485C89"/>
    <w:rsid w:val="00486BE3"/>
    <w:rsid w:val="004905E4"/>
    <w:rsid w:val="00490A89"/>
    <w:rsid w:val="00490AB4"/>
    <w:rsid w:val="004912C6"/>
    <w:rsid w:val="00492F02"/>
    <w:rsid w:val="004939AE"/>
    <w:rsid w:val="00496D11"/>
    <w:rsid w:val="004A0ADD"/>
    <w:rsid w:val="004A0C03"/>
    <w:rsid w:val="004A12DF"/>
    <w:rsid w:val="004A1892"/>
    <w:rsid w:val="004A18A7"/>
    <w:rsid w:val="004A1BA8"/>
    <w:rsid w:val="004A2C17"/>
    <w:rsid w:val="004A2D97"/>
    <w:rsid w:val="004A3AE6"/>
    <w:rsid w:val="004A4B57"/>
    <w:rsid w:val="004A54AC"/>
    <w:rsid w:val="004A63FA"/>
    <w:rsid w:val="004B0272"/>
    <w:rsid w:val="004B2701"/>
    <w:rsid w:val="004B2E1B"/>
    <w:rsid w:val="004B32C1"/>
    <w:rsid w:val="004B3AA8"/>
    <w:rsid w:val="004B3E93"/>
    <w:rsid w:val="004B653A"/>
    <w:rsid w:val="004B6CB1"/>
    <w:rsid w:val="004C1FBC"/>
    <w:rsid w:val="004C35D1"/>
    <w:rsid w:val="004C3F1D"/>
    <w:rsid w:val="004C458D"/>
    <w:rsid w:val="004C5664"/>
    <w:rsid w:val="004C6166"/>
    <w:rsid w:val="004C7556"/>
    <w:rsid w:val="004C7E8B"/>
    <w:rsid w:val="004C7E9D"/>
    <w:rsid w:val="004C7F67"/>
    <w:rsid w:val="004D076D"/>
    <w:rsid w:val="004D0EF1"/>
    <w:rsid w:val="004D2253"/>
    <w:rsid w:val="004D24ED"/>
    <w:rsid w:val="004D2BC3"/>
    <w:rsid w:val="004D321A"/>
    <w:rsid w:val="004D4406"/>
    <w:rsid w:val="004D6703"/>
    <w:rsid w:val="004D7C42"/>
    <w:rsid w:val="004E0465"/>
    <w:rsid w:val="004E0C90"/>
    <w:rsid w:val="004E127B"/>
    <w:rsid w:val="004E133A"/>
    <w:rsid w:val="004E1C0A"/>
    <w:rsid w:val="004E30C5"/>
    <w:rsid w:val="004E3C83"/>
    <w:rsid w:val="004E41C4"/>
    <w:rsid w:val="004E4AA5"/>
    <w:rsid w:val="004E4AEE"/>
    <w:rsid w:val="004E59E3"/>
    <w:rsid w:val="004E67C0"/>
    <w:rsid w:val="004E688A"/>
    <w:rsid w:val="004E7152"/>
    <w:rsid w:val="004F054F"/>
    <w:rsid w:val="004F27D5"/>
    <w:rsid w:val="004F391A"/>
    <w:rsid w:val="004F3CFB"/>
    <w:rsid w:val="004F5047"/>
    <w:rsid w:val="004F6456"/>
    <w:rsid w:val="004F696E"/>
    <w:rsid w:val="004F6C71"/>
    <w:rsid w:val="00500D53"/>
    <w:rsid w:val="00501139"/>
    <w:rsid w:val="0050363E"/>
    <w:rsid w:val="005039BC"/>
    <w:rsid w:val="00503FFC"/>
    <w:rsid w:val="005043BB"/>
    <w:rsid w:val="00504A3D"/>
    <w:rsid w:val="00505685"/>
    <w:rsid w:val="00505767"/>
    <w:rsid w:val="005073F0"/>
    <w:rsid w:val="00510A7B"/>
    <w:rsid w:val="00511C80"/>
    <w:rsid w:val="00512F6E"/>
    <w:rsid w:val="00513038"/>
    <w:rsid w:val="00513AD4"/>
    <w:rsid w:val="00514174"/>
    <w:rsid w:val="00515B36"/>
    <w:rsid w:val="00516088"/>
    <w:rsid w:val="00516B0B"/>
    <w:rsid w:val="00521106"/>
    <w:rsid w:val="00521361"/>
    <w:rsid w:val="005220EC"/>
    <w:rsid w:val="00523F95"/>
    <w:rsid w:val="00524D65"/>
    <w:rsid w:val="00525B16"/>
    <w:rsid w:val="00533D04"/>
    <w:rsid w:val="00534091"/>
    <w:rsid w:val="00534804"/>
    <w:rsid w:val="00534BDF"/>
    <w:rsid w:val="005354EA"/>
    <w:rsid w:val="0053585F"/>
    <w:rsid w:val="00535EC4"/>
    <w:rsid w:val="00535ED9"/>
    <w:rsid w:val="0053692B"/>
    <w:rsid w:val="00537560"/>
    <w:rsid w:val="00541853"/>
    <w:rsid w:val="0054317E"/>
    <w:rsid w:val="005436DA"/>
    <w:rsid w:val="00543BDA"/>
    <w:rsid w:val="005441CC"/>
    <w:rsid w:val="00544461"/>
    <w:rsid w:val="00544996"/>
    <w:rsid w:val="00545746"/>
    <w:rsid w:val="005479DA"/>
    <w:rsid w:val="00547BCC"/>
    <w:rsid w:val="0055013B"/>
    <w:rsid w:val="00550A84"/>
    <w:rsid w:val="00551F6F"/>
    <w:rsid w:val="00552A3E"/>
    <w:rsid w:val="005542D2"/>
    <w:rsid w:val="0055440A"/>
    <w:rsid w:val="00555044"/>
    <w:rsid w:val="00556321"/>
    <w:rsid w:val="00556C36"/>
    <w:rsid w:val="00557C37"/>
    <w:rsid w:val="00561475"/>
    <w:rsid w:val="00561536"/>
    <w:rsid w:val="00562E37"/>
    <w:rsid w:val="0056487B"/>
    <w:rsid w:val="00564FB9"/>
    <w:rsid w:val="00565DAD"/>
    <w:rsid w:val="005674AC"/>
    <w:rsid w:val="00570D9B"/>
    <w:rsid w:val="00573179"/>
    <w:rsid w:val="00573D9E"/>
    <w:rsid w:val="005778F1"/>
    <w:rsid w:val="005801E3"/>
    <w:rsid w:val="00580C6F"/>
    <w:rsid w:val="00581802"/>
    <w:rsid w:val="00582938"/>
    <w:rsid w:val="005836A8"/>
    <w:rsid w:val="0058409C"/>
    <w:rsid w:val="00584262"/>
    <w:rsid w:val="00586630"/>
    <w:rsid w:val="00587ADD"/>
    <w:rsid w:val="005910D0"/>
    <w:rsid w:val="0059142A"/>
    <w:rsid w:val="00591544"/>
    <w:rsid w:val="00591714"/>
    <w:rsid w:val="005951F8"/>
    <w:rsid w:val="0059595A"/>
    <w:rsid w:val="00596160"/>
    <w:rsid w:val="005966E2"/>
    <w:rsid w:val="00597007"/>
    <w:rsid w:val="005A0966"/>
    <w:rsid w:val="005A11B7"/>
    <w:rsid w:val="005A1E08"/>
    <w:rsid w:val="005A260B"/>
    <w:rsid w:val="005A2859"/>
    <w:rsid w:val="005A4A1B"/>
    <w:rsid w:val="005A4F8B"/>
    <w:rsid w:val="005A52A8"/>
    <w:rsid w:val="005A5722"/>
    <w:rsid w:val="005A7830"/>
    <w:rsid w:val="005A7FCE"/>
    <w:rsid w:val="005B0F3F"/>
    <w:rsid w:val="005B179D"/>
    <w:rsid w:val="005B31D5"/>
    <w:rsid w:val="005B4903"/>
    <w:rsid w:val="005B51CE"/>
    <w:rsid w:val="005B575C"/>
    <w:rsid w:val="005B5885"/>
    <w:rsid w:val="005B5CD7"/>
    <w:rsid w:val="005B69FB"/>
    <w:rsid w:val="005B6CF6"/>
    <w:rsid w:val="005B708F"/>
    <w:rsid w:val="005B7422"/>
    <w:rsid w:val="005B7745"/>
    <w:rsid w:val="005C0E20"/>
    <w:rsid w:val="005C2607"/>
    <w:rsid w:val="005C29B8"/>
    <w:rsid w:val="005C3C2A"/>
    <w:rsid w:val="005C45BB"/>
    <w:rsid w:val="005C534A"/>
    <w:rsid w:val="005C5F21"/>
    <w:rsid w:val="005C7156"/>
    <w:rsid w:val="005C7390"/>
    <w:rsid w:val="005C73C4"/>
    <w:rsid w:val="005D0C75"/>
    <w:rsid w:val="005D240A"/>
    <w:rsid w:val="005D2F0D"/>
    <w:rsid w:val="005D3C1D"/>
    <w:rsid w:val="005D4171"/>
    <w:rsid w:val="005D5795"/>
    <w:rsid w:val="005D6137"/>
    <w:rsid w:val="005D6A95"/>
    <w:rsid w:val="005D6B2C"/>
    <w:rsid w:val="005D6D9C"/>
    <w:rsid w:val="005E0BDC"/>
    <w:rsid w:val="005E2335"/>
    <w:rsid w:val="005E2663"/>
    <w:rsid w:val="005E34CA"/>
    <w:rsid w:val="005E3746"/>
    <w:rsid w:val="005E3C18"/>
    <w:rsid w:val="005E6812"/>
    <w:rsid w:val="005E7881"/>
    <w:rsid w:val="005E78E0"/>
    <w:rsid w:val="005F0285"/>
    <w:rsid w:val="005F0D9C"/>
    <w:rsid w:val="005F284E"/>
    <w:rsid w:val="005F5C47"/>
    <w:rsid w:val="005F737E"/>
    <w:rsid w:val="00600DCB"/>
    <w:rsid w:val="006010E9"/>
    <w:rsid w:val="006015CE"/>
    <w:rsid w:val="006025E3"/>
    <w:rsid w:val="006029A0"/>
    <w:rsid w:val="00602C38"/>
    <w:rsid w:val="00604784"/>
    <w:rsid w:val="006057CB"/>
    <w:rsid w:val="00606419"/>
    <w:rsid w:val="00607D29"/>
    <w:rsid w:val="00607F18"/>
    <w:rsid w:val="00612952"/>
    <w:rsid w:val="00612F6E"/>
    <w:rsid w:val="00613C25"/>
    <w:rsid w:val="00614CC1"/>
    <w:rsid w:val="006152CC"/>
    <w:rsid w:val="00615A9D"/>
    <w:rsid w:val="00617387"/>
    <w:rsid w:val="006205D6"/>
    <w:rsid w:val="00624DF7"/>
    <w:rsid w:val="006252D8"/>
    <w:rsid w:val="00625707"/>
    <w:rsid w:val="006259BC"/>
    <w:rsid w:val="0062636B"/>
    <w:rsid w:val="00626ED3"/>
    <w:rsid w:val="00632182"/>
    <w:rsid w:val="00632AE0"/>
    <w:rsid w:val="00633C17"/>
    <w:rsid w:val="00633C94"/>
    <w:rsid w:val="00634C28"/>
    <w:rsid w:val="00634D9E"/>
    <w:rsid w:val="00634F19"/>
    <w:rsid w:val="00635C6F"/>
    <w:rsid w:val="00636E3E"/>
    <w:rsid w:val="006379F7"/>
    <w:rsid w:val="00637E4D"/>
    <w:rsid w:val="00640620"/>
    <w:rsid w:val="00640F15"/>
    <w:rsid w:val="00641A1F"/>
    <w:rsid w:val="006453BF"/>
    <w:rsid w:val="00645904"/>
    <w:rsid w:val="00646309"/>
    <w:rsid w:val="00647371"/>
    <w:rsid w:val="00651ACB"/>
    <w:rsid w:val="00651C47"/>
    <w:rsid w:val="00652AB2"/>
    <w:rsid w:val="00653FED"/>
    <w:rsid w:val="006545BD"/>
    <w:rsid w:val="00654EC0"/>
    <w:rsid w:val="0065525B"/>
    <w:rsid w:val="00655D4F"/>
    <w:rsid w:val="00656593"/>
    <w:rsid w:val="00656D29"/>
    <w:rsid w:val="00656F69"/>
    <w:rsid w:val="0066106F"/>
    <w:rsid w:val="006640E5"/>
    <w:rsid w:val="006646F1"/>
    <w:rsid w:val="00664929"/>
    <w:rsid w:val="00664F62"/>
    <w:rsid w:val="006655E1"/>
    <w:rsid w:val="00672060"/>
    <w:rsid w:val="00672BFD"/>
    <w:rsid w:val="00674D10"/>
    <w:rsid w:val="00676E89"/>
    <w:rsid w:val="006770F4"/>
    <w:rsid w:val="00677A84"/>
    <w:rsid w:val="0068001F"/>
    <w:rsid w:val="0068026D"/>
    <w:rsid w:val="0068072F"/>
    <w:rsid w:val="00680A27"/>
    <w:rsid w:val="00680C7F"/>
    <w:rsid w:val="006816A4"/>
    <w:rsid w:val="006819B8"/>
    <w:rsid w:val="00683415"/>
    <w:rsid w:val="006840A6"/>
    <w:rsid w:val="006850CD"/>
    <w:rsid w:val="00685948"/>
    <w:rsid w:val="00685AAB"/>
    <w:rsid w:val="00685B86"/>
    <w:rsid w:val="00692859"/>
    <w:rsid w:val="006957E9"/>
    <w:rsid w:val="00695F0C"/>
    <w:rsid w:val="006A0296"/>
    <w:rsid w:val="006A07AA"/>
    <w:rsid w:val="006A25E5"/>
    <w:rsid w:val="006A2B46"/>
    <w:rsid w:val="006A336D"/>
    <w:rsid w:val="006A37B9"/>
    <w:rsid w:val="006A3BB0"/>
    <w:rsid w:val="006A6822"/>
    <w:rsid w:val="006B1A67"/>
    <w:rsid w:val="006B2672"/>
    <w:rsid w:val="006B2D73"/>
    <w:rsid w:val="006B31AD"/>
    <w:rsid w:val="006B4D5F"/>
    <w:rsid w:val="006B4EEE"/>
    <w:rsid w:val="006B54BF"/>
    <w:rsid w:val="006B5F44"/>
    <w:rsid w:val="006B5F90"/>
    <w:rsid w:val="006B62E4"/>
    <w:rsid w:val="006B696A"/>
    <w:rsid w:val="006B72AA"/>
    <w:rsid w:val="006B73D0"/>
    <w:rsid w:val="006B7861"/>
    <w:rsid w:val="006C1BBA"/>
    <w:rsid w:val="006C2079"/>
    <w:rsid w:val="006C2CB6"/>
    <w:rsid w:val="006C3AE9"/>
    <w:rsid w:val="006C5A62"/>
    <w:rsid w:val="006C5D68"/>
    <w:rsid w:val="006C6976"/>
    <w:rsid w:val="006C6DD0"/>
    <w:rsid w:val="006D04EA"/>
    <w:rsid w:val="006D16C4"/>
    <w:rsid w:val="006D187F"/>
    <w:rsid w:val="006D2419"/>
    <w:rsid w:val="006D3E96"/>
    <w:rsid w:val="006D4515"/>
    <w:rsid w:val="006D4B57"/>
    <w:rsid w:val="006D4BB1"/>
    <w:rsid w:val="006D5DF4"/>
    <w:rsid w:val="006D6593"/>
    <w:rsid w:val="006D6BCA"/>
    <w:rsid w:val="006E203F"/>
    <w:rsid w:val="006E21A0"/>
    <w:rsid w:val="006E716A"/>
    <w:rsid w:val="006F03A8"/>
    <w:rsid w:val="006F08F9"/>
    <w:rsid w:val="006F2ACA"/>
    <w:rsid w:val="006F2ADC"/>
    <w:rsid w:val="006F2BFE"/>
    <w:rsid w:val="006F31E9"/>
    <w:rsid w:val="006F3FE2"/>
    <w:rsid w:val="006F4C95"/>
    <w:rsid w:val="006F6284"/>
    <w:rsid w:val="007002C5"/>
    <w:rsid w:val="007034DA"/>
    <w:rsid w:val="00704387"/>
    <w:rsid w:val="00704C37"/>
    <w:rsid w:val="00705B08"/>
    <w:rsid w:val="0070758F"/>
    <w:rsid w:val="00707669"/>
    <w:rsid w:val="00710A22"/>
    <w:rsid w:val="007115D1"/>
    <w:rsid w:val="00711CBA"/>
    <w:rsid w:val="00711FB5"/>
    <w:rsid w:val="00712A01"/>
    <w:rsid w:val="00714F58"/>
    <w:rsid w:val="00722FBF"/>
    <w:rsid w:val="00722FC2"/>
    <w:rsid w:val="00723DCE"/>
    <w:rsid w:val="00724CA0"/>
    <w:rsid w:val="00724E1B"/>
    <w:rsid w:val="00725949"/>
    <w:rsid w:val="00727FA2"/>
    <w:rsid w:val="0073166F"/>
    <w:rsid w:val="00732283"/>
    <w:rsid w:val="007322D9"/>
    <w:rsid w:val="00732741"/>
    <w:rsid w:val="00732BC0"/>
    <w:rsid w:val="0073351E"/>
    <w:rsid w:val="0073720F"/>
    <w:rsid w:val="00737796"/>
    <w:rsid w:val="0074165C"/>
    <w:rsid w:val="00742C35"/>
    <w:rsid w:val="007432CA"/>
    <w:rsid w:val="007439EB"/>
    <w:rsid w:val="00743CB4"/>
    <w:rsid w:val="00743F0A"/>
    <w:rsid w:val="007444E8"/>
    <w:rsid w:val="0074548E"/>
    <w:rsid w:val="00745773"/>
    <w:rsid w:val="00746800"/>
    <w:rsid w:val="007479DD"/>
    <w:rsid w:val="007501A8"/>
    <w:rsid w:val="00750AA5"/>
    <w:rsid w:val="00750D61"/>
    <w:rsid w:val="00750EE1"/>
    <w:rsid w:val="00751D59"/>
    <w:rsid w:val="00752B4D"/>
    <w:rsid w:val="00754062"/>
    <w:rsid w:val="00755402"/>
    <w:rsid w:val="00756B26"/>
    <w:rsid w:val="00756EDF"/>
    <w:rsid w:val="007600E3"/>
    <w:rsid w:val="00765C43"/>
    <w:rsid w:val="00765EFB"/>
    <w:rsid w:val="007671CA"/>
    <w:rsid w:val="00767251"/>
    <w:rsid w:val="00767C61"/>
    <w:rsid w:val="0077008A"/>
    <w:rsid w:val="00773C1F"/>
    <w:rsid w:val="007746F1"/>
    <w:rsid w:val="00774DA4"/>
    <w:rsid w:val="00776599"/>
    <w:rsid w:val="00780DC8"/>
    <w:rsid w:val="0078114B"/>
    <w:rsid w:val="0078165A"/>
    <w:rsid w:val="00781DD2"/>
    <w:rsid w:val="00783624"/>
    <w:rsid w:val="00783ECF"/>
    <w:rsid w:val="0078413A"/>
    <w:rsid w:val="007845CD"/>
    <w:rsid w:val="00784A50"/>
    <w:rsid w:val="00785BDA"/>
    <w:rsid w:val="007875B9"/>
    <w:rsid w:val="0079418A"/>
    <w:rsid w:val="007959E8"/>
    <w:rsid w:val="00795CA1"/>
    <w:rsid w:val="00795E9C"/>
    <w:rsid w:val="007A0521"/>
    <w:rsid w:val="007A2E12"/>
    <w:rsid w:val="007A3475"/>
    <w:rsid w:val="007A41C8"/>
    <w:rsid w:val="007A54CE"/>
    <w:rsid w:val="007A54E2"/>
    <w:rsid w:val="007A60FE"/>
    <w:rsid w:val="007A6FD9"/>
    <w:rsid w:val="007A7FFA"/>
    <w:rsid w:val="007B04EB"/>
    <w:rsid w:val="007B0D4F"/>
    <w:rsid w:val="007B1DBB"/>
    <w:rsid w:val="007B3C5D"/>
    <w:rsid w:val="007B41EA"/>
    <w:rsid w:val="007B5A3D"/>
    <w:rsid w:val="007B5B95"/>
    <w:rsid w:val="007B68EA"/>
    <w:rsid w:val="007B7453"/>
    <w:rsid w:val="007C161D"/>
    <w:rsid w:val="007C2D89"/>
    <w:rsid w:val="007C4593"/>
    <w:rsid w:val="007C5309"/>
    <w:rsid w:val="007C6069"/>
    <w:rsid w:val="007D0490"/>
    <w:rsid w:val="007D06C4"/>
    <w:rsid w:val="007D1352"/>
    <w:rsid w:val="007D2508"/>
    <w:rsid w:val="007D346A"/>
    <w:rsid w:val="007D624D"/>
    <w:rsid w:val="007D6518"/>
    <w:rsid w:val="007D74F9"/>
    <w:rsid w:val="007D76BD"/>
    <w:rsid w:val="007E0BF1"/>
    <w:rsid w:val="007E1144"/>
    <w:rsid w:val="007E2B6B"/>
    <w:rsid w:val="007E459D"/>
    <w:rsid w:val="007F0D4A"/>
    <w:rsid w:val="007F0ED8"/>
    <w:rsid w:val="007F0F63"/>
    <w:rsid w:val="007F55F8"/>
    <w:rsid w:val="007F75CE"/>
    <w:rsid w:val="007F7865"/>
    <w:rsid w:val="007F7B31"/>
    <w:rsid w:val="00800EE7"/>
    <w:rsid w:val="008013A4"/>
    <w:rsid w:val="00801913"/>
    <w:rsid w:val="008027CE"/>
    <w:rsid w:val="00802F42"/>
    <w:rsid w:val="00804383"/>
    <w:rsid w:val="00804BB7"/>
    <w:rsid w:val="00804D41"/>
    <w:rsid w:val="00805DFD"/>
    <w:rsid w:val="00810257"/>
    <w:rsid w:val="008104F5"/>
    <w:rsid w:val="00810ECB"/>
    <w:rsid w:val="00811072"/>
    <w:rsid w:val="00811369"/>
    <w:rsid w:val="00812064"/>
    <w:rsid w:val="008132DD"/>
    <w:rsid w:val="00815419"/>
    <w:rsid w:val="008161CD"/>
    <w:rsid w:val="008163C8"/>
    <w:rsid w:val="008164A1"/>
    <w:rsid w:val="00817325"/>
    <w:rsid w:val="00820492"/>
    <w:rsid w:val="008209E6"/>
    <w:rsid w:val="00822102"/>
    <w:rsid w:val="00823303"/>
    <w:rsid w:val="008233B2"/>
    <w:rsid w:val="00823A9F"/>
    <w:rsid w:val="00823C85"/>
    <w:rsid w:val="00825138"/>
    <w:rsid w:val="008269DD"/>
    <w:rsid w:val="00830621"/>
    <w:rsid w:val="0083348C"/>
    <w:rsid w:val="008336D7"/>
    <w:rsid w:val="00836AD6"/>
    <w:rsid w:val="008373D3"/>
    <w:rsid w:val="00840617"/>
    <w:rsid w:val="00840F84"/>
    <w:rsid w:val="00841AFD"/>
    <w:rsid w:val="00842A47"/>
    <w:rsid w:val="00842D50"/>
    <w:rsid w:val="008430AA"/>
    <w:rsid w:val="00843C13"/>
    <w:rsid w:val="008454F8"/>
    <w:rsid w:val="00846157"/>
    <w:rsid w:val="0084685A"/>
    <w:rsid w:val="0085173A"/>
    <w:rsid w:val="00852012"/>
    <w:rsid w:val="00853E86"/>
    <w:rsid w:val="00855398"/>
    <w:rsid w:val="008603CE"/>
    <w:rsid w:val="00861C85"/>
    <w:rsid w:val="008620FC"/>
    <w:rsid w:val="008621BE"/>
    <w:rsid w:val="008627A5"/>
    <w:rsid w:val="00863E05"/>
    <w:rsid w:val="00865528"/>
    <w:rsid w:val="00865ACA"/>
    <w:rsid w:val="00865D28"/>
    <w:rsid w:val="00865F85"/>
    <w:rsid w:val="00866A3D"/>
    <w:rsid w:val="00867C10"/>
    <w:rsid w:val="00870439"/>
    <w:rsid w:val="00870DA1"/>
    <w:rsid w:val="008714CC"/>
    <w:rsid w:val="008717C1"/>
    <w:rsid w:val="00871C08"/>
    <w:rsid w:val="00874307"/>
    <w:rsid w:val="00876E12"/>
    <w:rsid w:val="0087772C"/>
    <w:rsid w:val="00877FE1"/>
    <w:rsid w:val="00880588"/>
    <w:rsid w:val="00880C79"/>
    <w:rsid w:val="00881A48"/>
    <w:rsid w:val="00881B37"/>
    <w:rsid w:val="00883AB0"/>
    <w:rsid w:val="00883F93"/>
    <w:rsid w:val="00884DB3"/>
    <w:rsid w:val="00885A9D"/>
    <w:rsid w:val="008864F6"/>
    <w:rsid w:val="0089049D"/>
    <w:rsid w:val="00890B18"/>
    <w:rsid w:val="008928C9"/>
    <w:rsid w:val="00892F72"/>
    <w:rsid w:val="008930CB"/>
    <w:rsid w:val="008938DC"/>
    <w:rsid w:val="00893BD3"/>
    <w:rsid w:val="00893FD1"/>
    <w:rsid w:val="00894836"/>
    <w:rsid w:val="00895172"/>
    <w:rsid w:val="00895680"/>
    <w:rsid w:val="008968D1"/>
    <w:rsid w:val="00896DFF"/>
    <w:rsid w:val="0089762C"/>
    <w:rsid w:val="00897B01"/>
    <w:rsid w:val="008A152A"/>
    <w:rsid w:val="008A1893"/>
    <w:rsid w:val="008A1AC4"/>
    <w:rsid w:val="008A1AC9"/>
    <w:rsid w:val="008A1B02"/>
    <w:rsid w:val="008A57E6"/>
    <w:rsid w:val="008A6F81"/>
    <w:rsid w:val="008A769A"/>
    <w:rsid w:val="008B0C9C"/>
    <w:rsid w:val="008B166D"/>
    <w:rsid w:val="008B17F4"/>
    <w:rsid w:val="008B3615"/>
    <w:rsid w:val="008B36FD"/>
    <w:rsid w:val="008B4AC4"/>
    <w:rsid w:val="008B50C8"/>
    <w:rsid w:val="008B5281"/>
    <w:rsid w:val="008B59A2"/>
    <w:rsid w:val="008B7E05"/>
    <w:rsid w:val="008C1797"/>
    <w:rsid w:val="008C219C"/>
    <w:rsid w:val="008C2ACF"/>
    <w:rsid w:val="008C4167"/>
    <w:rsid w:val="008C475E"/>
    <w:rsid w:val="008C5360"/>
    <w:rsid w:val="008C619A"/>
    <w:rsid w:val="008D0CE8"/>
    <w:rsid w:val="008D2D1D"/>
    <w:rsid w:val="008D421E"/>
    <w:rsid w:val="008D453D"/>
    <w:rsid w:val="008D53AD"/>
    <w:rsid w:val="008D562B"/>
    <w:rsid w:val="008D565C"/>
    <w:rsid w:val="008D5733"/>
    <w:rsid w:val="008D5D19"/>
    <w:rsid w:val="008D622B"/>
    <w:rsid w:val="008D666C"/>
    <w:rsid w:val="008D7168"/>
    <w:rsid w:val="008D7B54"/>
    <w:rsid w:val="008E0C9D"/>
    <w:rsid w:val="008E0D20"/>
    <w:rsid w:val="008E1648"/>
    <w:rsid w:val="008E1B3E"/>
    <w:rsid w:val="008E2319"/>
    <w:rsid w:val="008E2E47"/>
    <w:rsid w:val="008E4BB6"/>
    <w:rsid w:val="008E5518"/>
    <w:rsid w:val="008E6A84"/>
    <w:rsid w:val="008F0CDC"/>
    <w:rsid w:val="008F1388"/>
    <w:rsid w:val="008F17A3"/>
    <w:rsid w:val="008F1ED3"/>
    <w:rsid w:val="008F4C29"/>
    <w:rsid w:val="008F6C65"/>
    <w:rsid w:val="008F6F42"/>
    <w:rsid w:val="008F70BD"/>
    <w:rsid w:val="008F788F"/>
    <w:rsid w:val="008F7EA2"/>
    <w:rsid w:val="0090116A"/>
    <w:rsid w:val="00902722"/>
    <w:rsid w:val="009027BC"/>
    <w:rsid w:val="009062E6"/>
    <w:rsid w:val="009064EC"/>
    <w:rsid w:val="00907A50"/>
    <w:rsid w:val="00911BE5"/>
    <w:rsid w:val="00913840"/>
    <w:rsid w:val="00913924"/>
    <w:rsid w:val="00913CA9"/>
    <w:rsid w:val="009142F3"/>
    <w:rsid w:val="009145AE"/>
    <w:rsid w:val="009146CE"/>
    <w:rsid w:val="00914CA7"/>
    <w:rsid w:val="00915C3E"/>
    <w:rsid w:val="009161A8"/>
    <w:rsid w:val="0091647D"/>
    <w:rsid w:val="009245F5"/>
    <w:rsid w:val="009249EC"/>
    <w:rsid w:val="009273B3"/>
    <w:rsid w:val="009302F6"/>
    <w:rsid w:val="009305B5"/>
    <w:rsid w:val="009312F4"/>
    <w:rsid w:val="00933A4D"/>
    <w:rsid w:val="00940947"/>
    <w:rsid w:val="00940F42"/>
    <w:rsid w:val="009429D5"/>
    <w:rsid w:val="00942BF1"/>
    <w:rsid w:val="00944435"/>
    <w:rsid w:val="00944CED"/>
    <w:rsid w:val="00945180"/>
    <w:rsid w:val="00945428"/>
    <w:rsid w:val="0094607B"/>
    <w:rsid w:val="009462CC"/>
    <w:rsid w:val="00946990"/>
    <w:rsid w:val="00947B61"/>
    <w:rsid w:val="00950636"/>
    <w:rsid w:val="00951C12"/>
    <w:rsid w:val="0095358B"/>
    <w:rsid w:val="00953604"/>
    <w:rsid w:val="0095496B"/>
    <w:rsid w:val="00955238"/>
    <w:rsid w:val="00957C8D"/>
    <w:rsid w:val="00957F05"/>
    <w:rsid w:val="00960933"/>
    <w:rsid w:val="009610DC"/>
    <w:rsid w:val="00961490"/>
    <w:rsid w:val="009617C1"/>
    <w:rsid w:val="0096204D"/>
    <w:rsid w:val="0096381A"/>
    <w:rsid w:val="00964C94"/>
    <w:rsid w:val="00965E04"/>
    <w:rsid w:val="009661E3"/>
    <w:rsid w:val="00966C9E"/>
    <w:rsid w:val="00966E62"/>
    <w:rsid w:val="00966F9B"/>
    <w:rsid w:val="009674AD"/>
    <w:rsid w:val="00970725"/>
    <w:rsid w:val="00970CDC"/>
    <w:rsid w:val="00971DCE"/>
    <w:rsid w:val="00975A41"/>
    <w:rsid w:val="0097632C"/>
    <w:rsid w:val="009769C0"/>
    <w:rsid w:val="00976E3D"/>
    <w:rsid w:val="00977010"/>
    <w:rsid w:val="00977D02"/>
    <w:rsid w:val="009809BB"/>
    <w:rsid w:val="0098364B"/>
    <w:rsid w:val="009911AF"/>
    <w:rsid w:val="00991875"/>
    <w:rsid w:val="00991EA9"/>
    <w:rsid w:val="00991F92"/>
    <w:rsid w:val="009925BB"/>
    <w:rsid w:val="00992985"/>
    <w:rsid w:val="00992CA0"/>
    <w:rsid w:val="00993889"/>
    <w:rsid w:val="009943E6"/>
    <w:rsid w:val="0099551B"/>
    <w:rsid w:val="00997BF1"/>
    <w:rsid w:val="009A089C"/>
    <w:rsid w:val="009A1117"/>
    <w:rsid w:val="009A118E"/>
    <w:rsid w:val="009A1703"/>
    <w:rsid w:val="009A21CD"/>
    <w:rsid w:val="009A278C"/>
    <w:rsid w:val="009A2BC2"/>
    <w:rsid w:val="009A42C1"/>
    <w:rsid w:val="009A5429"/>
    <w:rsid w:val="009A6EDC"/>
    <w:rsid w:val="009A72AD"/>
    <w:rsid w:val="009B0557"/>
    <w:rsid w:val="009B09E0"/>
    <w:rsid w:val="009B0BC5"/>
    <w:rsid w:val="009B1247"/>
    <w:rsid w:val="009B3216"/>
    <w:rsid w:val="009B3A4F"/>
    <w:rsid w:val="009B5A91"/>
    <w:rsid w:val="009B6029"/>
    <w:rsid w:val="009B6971"/>
    <w:rsid w:val="009B6DE2"/>
    <w:rsid w:val="009B7F69"/>
    <w:rsid w:val="009C08F3"/>
    <w:rsid w:val="009C27F1"/>
    <w:rsid w:val="009C289B"/>
    <w:rsid w:val="009C3152"/>
    <w:rsid w:val="009C3571"/>
    <w:rsid w:val="009C4718"/>
    <w:rsid w:val="009C4CFA"/>
    <w:rsid w:val="009C5070"/>
    <w:rsid w:val="009C53F7"/>
    <w:rsid w:val="009C74E7"/>
    <w:rsid w:val="009D05B3"/>
    <w:rsid w:val="009D112C"/>
    <w:rsid w:val="009D2170"/>
    <w:rsid w:val="009D3A86"/>
    <w:rsid w:val="009D47FA"/>
    <w:rsid w:val="009D4C5B"/>
    <w:rsid w:val="009D50D2"/>
    <w:rsid w:val="009D6BCA"/>
    <w:rsid w:val="009D79E0"/>
    <w:rsid w:val="009E0698"/>
    <w:rsid w:val="009E0C00"/>
    <w:rsid w:val="009E0F62"/>
    <w:rsid w:val="009E29E0"/>
    <w:rsid w:val="009E4A58"/>
    <w:rsid w:val="009E4C9F"/>
    <w:rsid w:val="009E4F80"/>
    <w:rsid w:val="009E5A2D"/>
    <w:rsid w:val="009E5AB2"/>
    <w:rsid w:val="009E6219"/>
    <w:rsid w:val="009E65EA"/>
    <w:rsid w:val="009F03B3"/>
    <w:rsid w:val="009F0AE4"/>
    <w:rsid w:val="009F283C"/>
    <w:rsid w:val="009F3C1A"/>
    <w:rsid w:val="00A0096C"/>
    <w:rsid w:val="00A01757"/>
    <w:rsid w:val="00A02059"/>
    <w:rsid w:val="00A028C0"/>
    <w:rsid w:val="00A02BAE"/>
    <w:rsid w:val="00A031B1"/>
    <w:rsid w:val="00A0497D"/>
    <w:rsid w:val="00A06A6B"/>
    <w:rsid w:val="00A07E47"/>
    <w:rsid w:val="00A07FCF"/>
    <w:rsid w:val="00A11E92"/>
    <w:rsid w:val="00A12489"/>
    <w:rsid w:val="00A129D0"/>
    <w:rsid w:val="00A12C33"/>
    <w:rsid w:val="00A138BA"/>
    <w:rsid w:val="00A14C8E"/>
    <w:rsid w:val="00A153D9"/>
    <w:rsid w:val="00A15F09"/>
    <w:rsid w:val="00A1662E"/>
    <w:rsid w:val="00A169B6"/>
    <w:rsid w:val="00A205AF"/>
    <w:rsid w:val="00A2180E"/>
    <w:rsid w:val="00A2271D"/>
    <w:rsid w:val="00A22927"/>
    <w:rsid w:val="00A237D5"/>
    <w:rsid w:val="00A24380"/>
    <w:rsid w:val="00A26B98"/>
    <w:rsid w:val="00A30EFC"/>
    <w:rsid w:val="00A3182E"/>
    <w:rsid w:val="00A31984"/>
    <w:rsid w:val="00A32D73"/>
    <w:rsid w:val="00A3367B"/>
    <w:rsid w:val="00A3597D"/>
    <w:rsid w:val="00A36DD1"/>
    <w:rsid w:val="00A4006C"/>
    <w:rsid w:val="00A40091"/>
    <w:rsid w:val="00A4030F"/>
    <w:rsid w:val="00A41BA2"/>
    <w:rsid w:val="00A41C79"/>
    <w:rsid w:val="00A41CB5"/>
    <w:rsid w:val="00A42335"/>
    <w:rsid w:val="00A4262C"/>
    <w:rsid w:val="00A42CDF"/>
    <w:rsid w:val="00A4386A"/>
    <w:rsid w:val="00A43D4F"/>
    <w:rsid w:val="00A4452E"/>
    <w:rsid w:val="00A4472C"/>
    <w:rsid w:val="00A44E69"/>
    <w:rsid w:val="00A44ED7"/>
    <w:rsid w:val="00A45433"/>
    <w:rsid w:val="00A4661E"/>
    <w:rsid w:val="00A51538"/>
    <w:rsid w:val="00A55BD6"/>
    <w:rsid w:val="00A55D50"/>
    <w:rsid w:val="00A57142"/>
    <w:rsid w:val="00A630EA"/>
    <w:rsid w:val="00A648CD"/>
    <w:rsid w:val="00A6537A"/>
    <w:rsid w:val="00A67866"/>
    <w:rsid w:val="00A678B0"/>
    <w:rsid w:val="00A70411"/>
    <w:rsid w:val="00A70B07"/>
    <w:rsid w:val="00A71436"/>
    <w:rsid w:val="00A723F8"/>
    <w:rsid w:val="00A727C9"/>
    <w:rsid w:val="00A735D8"/>
    <w:rsid w:val="00A75374"/>
    <w:rsid w:val="00A755A3"/>
    <w:rsid w:val="00A77CCB"/>
    <w:rsid w:val="00A8227A"/>
    <w:rsid w:val="00A839B2"/>
    <w:rsid w:val="00A83D8D"/>
    <w:rsid w:val="00A8433B"/>
    <w:rsid w:val="00A8446B"/>
    <w:rsid w:val="00A8473F"/>
    <w:rsid w:val="00A850A1"/>
    <w:rsid w:val="00A85403"/>
    <w:rsid w:val="00A862D6"/>
    <w:rsid w:val="00A8715E"/>
    <w:rsid w:val="00A9295B"/>
    <w:rsid w:val="00A92D81"/>
    <w:rsid w:val="00A9316D"/>
    <w:rsid w:val="00A93B09"/>
    <w:rsid w:val="00A952D7"/>
    <w:rsid w:val="00A963F7"/>
    <w:rsid w:val="00A96AD8"/>
    <w:rsid w:val="00AA052C"/>
    <w:rsid w:val="00AA1E45"/>
    <w:rsid w:val="00AA3BE9"/>
    <w:rsid w:val="00AA3C3E"/>
    <w:rsid w:val="00AA4286"/>
    <w:rsid w:val="00AA456B"/>
    <w:rsid w:val="00AA57F5"/>
    <w:rsid w:val="00AA672E"/>
    <w:rsid w:val="00AA6EC9"/>
    <w:rsid w:val="00AA7299"/>
    <w:rsid w:val="00AB224A"/>
    <w:rsid w:val="00AB4872"/>
    <w:rsid w:val="00AB6309"/>
    <w:rsid w:val="00AB6C5F"/>
    <w:rsid w:val="00AB7129"/>
    <w:rsid w:val="00AC0188"/>
    <w:rsid w:val="00AC1736"/>
    <w:rsid w:val="00AC1F98"/>
    <w:rsid w:val="00AC268E"/>
    <w:rsid w:val="00AC27A6"/>
    <w:rsid w:val="00AC30F7"/>
    <w:rsid w:val="00AC3A5A"/>
    <w:rsid w:val="00AC4A5E"/>
    <w:rsid w:val="00AC4D95"/>
    <w:rsid w:val="00AC5DF4"/>
    <w:rsid w:val="00AD0AEF"/>
    <w:rsid w:val="00AD11B7"/>
    <w:rsid w:val="00AD1A94"/>
    <w:rsid w:val="00AD1C05"/>
    <w:rsid w:val="00AD4126"/>
    <w:rsid w:val="00AD421C"/>
    <w:rsid w:val="00AD44FA"/>
    <w:rsid w:val="00AD511C"/>
    <w:rsid w:val="00AD54EE"/>
    <w:rsid w:val="00AD5A66"/>
    <w:rsid w:val="00AD695D"/>
    <w:rsid w:val="00AD7967"/>
    <w:rsid w:val="00AE070A"/>
    <w:rsid w:val="00AE101C"/>
    <w:rsid w:val="00AE37E5"/>
    <w:rsid w:val="00AE4757"/>
    <w:rsid w:val="00AE5EB4"/>
    <w:rsid w:val="00AF0C18"/>
    <w:rsid w:val="00AF2823"/>
    <w:rsid w:val="00AF47C5"/>
    <w:rsid w:val="00AF5398"/>
    <w:rsid w:val="00AF682E"/>
    <w:rsid w:val="00B00203"/>
    <w:rsid w:val="00B00C7D"/>
    <w:rsid w:val="00B041B6"/>
    <w:rsid w:val="00B049AF"/>
    <w:rsid w:val="00B0567F"/>
    <w:rsid w:val="00B07242"/>
    <w:rsid w:val="00B0725A"/>
    <w:rsid w:val="00B076DD"/>
    <w:rsid w:val="00B07B03"/>
    <w:rsid w:val="00B10534"/>
    <w:rsid w:val="00B113DB"/>
    <w:rsid w:val="00B11A55"/>
    <w:rsid w:val="00B11D8A"/>
    <w:rsid w:val="00B12981"/>
    <w:rsid w:val="00B12FA3"/>
    <w:rsid w:val="00B147DD"/>
    <w:rsid w:val="00B156FD"/>
    <w:rsid w:val="00B16DE2"/>
    <w:rsid w:val="00B21244"/>
    <w:rsid w:val="00B21F61"/>
    <w:rsid w:val="00B25EA2"/>
    <w:rsid w:val="00B261F1"/>
    <w:rsid w:val="00B26595"/>
    <w:rsid w:val="00B265BC"/>
    <w:rsid w:val="00B31FB1"/>
    <w:rsid w:val="00B33952"/>
    <w:rsid w:val="00B33BEB"/>
    <w:rsid w:val="00B33C5E"/>
    <w:rsid w:val="00B342F4"/>
    <w:rsid w:val="00B34369"/>
    <w:rsid w:val="00B34DC2"/>
    <w:rsid w:val="00B378E5"/>
    <w:rsid w:val="00B40BC7"/>
    <w:rsid w:val="00B4313F"/>
    <w:rsid w:val="00B432C3"/>
    <w:rsid w:val="00B432C5"/>
    <w:rsid w:val="00B4346D"/>
    <w:rsid w:val="00B440F4"/>
    <w:rsid w:val="00B447A5"/>
    <w:rsid w:val="00B45435"/>
    <w:rsid w:val="00B4654C"/>
    <w:rsid w:val="00B47293"/>
    <w:rsid w:val="00B50B35"/>
    <w:rsid w:val="00B50E50"/>
    <w:rsid w:val="00B52120"/>
    <w:rsid w:val="00B52661"/>
    <w:rsid w:val="00B52D4E"/>
    <w:rsid w:val="00B52DD0"/>
    <w:rsid w:val="00B54461"/>
    <w:rsid w:val="00B54A07"/>
    <w:rsid w:val="00B54ABC"/>
    <w:rsid w:val="00B56646"/>
    <w:rsid w:val="00B56E72"/>
    <w:rsid w:val="00B56FBE"/>
    <w:rsid w:val="00B607B3"/>
    <w:rsid w:val="00B60ACF"/>
    <w:rsid w:val="00B60E9F"/>
    <w:rsid w:val="00B618BA"/>
    <w:rsid w:val="00B62B58"/>
    <w:rsid w:val="00B6462A"/>
    <w:rsid w:val="00B65149"/>
    <w:rsid w:val="00B66567"/>
    <w:rsid w:val="00B66F52"/>
    <w:rsid w:val="00B66FE5"/>
    <w:rsid w:val="00B71D4D"/>
    <w:rsid w:val="00B72880"/>
    <w:rsid w:val="00B758BF"/>
    <w:rsid w:val="00B75C20"/>
    <w:rsid w:val="00B76B29"/>
    <w:rsid w:val="00B77097"/>
    <w:rsid w:val="00B77EC8"/>
    <w:rsid w:val="00B80B8F"/>
    <w:rsid w:val="00B80BB9"/>
    <w:rsid w:val="00B813EB"/>
    <w:rsid w:val="00B81624"/>
    <w:rsid w:val="00B827A6"/>
    <w:rsid w:val="00B831CE"/>
    <w:rsid w:val="00B8329F"/>
    <w:rsid w:val="00B838CD"/>
    <w:rsid w:val="00B86677"/>
    <w:rsid w:val="00B86F4F"/>
    <w:rsid w:val="00B87131"/>
    <w:rsid w:val="00B923E0"/>
    <w:rsid w:val="00B939B1"/>
    <w:rsid w:val="00B96D40"/>
    <w:rsid w:val="00B97386"/>
    <w:rsid w:val="00BA263B"/>
    <w:rsid w:val="00BA42B2"/>
    <w:rsid w:val="00BA58D4"/>
    <w:rsid w:val="00BA5B9E"/>
    <w:rsid w:val="00BA7C9A"/>
    <w:rsid w:val="00BB0DD5"/>
    <w:rsid w:val="00BB1112"/>
    <w:rsid w:val="00BB2146"/>
    <w:rsid w:val="00BB29ED"/>
    <w:rsid w:val="00BB2F14"/>
    <w:rsid w:val="00BB3E25"/>
    <w:rsid w:val="00BB5F8F"/>
    <w:rsid w:val="00BB657A"/>
    <w:rsid w:val="00BB7EBD"/>
    <w:rsid w:val="00BC1A4E"/>
    <w:rsid w:val="00BC32B7"/>
    <w:rsid w:val="00BC3341"/>
    <w:rsid w:val="00BC416A"/>
    <w:rsid w:val="00BC5DC7"/>
    <w:rsid w:val="00BC5E4B"/>
    <w:rsid w:val="00BC6B8B"/>
    <w:rsid w:val="00BC6FEF"/>
    <w:rsid w:val="00BC73D8"/>
    <w:rsid w:val="00BD0030"/>
    <w:rsid w:val="00BD04DF"/>
    <w:rsid w:val="00BD08D0"/>
    <w:rsid w:val="00BD1DBF"/>
    <w:rsid w:val="00BD42DD"/>
    <w:rsid w:val="00BD4458"/>
    <w:rsid w:val="00BD52D7"/>
    <w:rsid w:val="00BD5AD2"/>
    <w:rsid w:val="00BD68A3"/>
    <w:rsid w:val="00BE10D0"/>
    <w:rsid w:val="00BE1CE0"/>
    <w:rsid w:val="00BE22F3"/>
    <w:rsid w:val="00BE238C"/>
    <w:rsid w:val="00BE37E0"/>
    <w:rsid w:val="00BE456B"/>
    <w:rsid w:val="00BE5B52"/>
    <w:rsid w:val="00BE600A"/>
    <w:rsid w:val="00BE7B8D"/>
    <w:rsid w:val="00BF0993"/>
    <w:rsid w:val="00BF10A9"/>
    <w:rsid w:val="00BF1703"/>
    <w:rsid w:val="00BF1D21"/>
    <w:rsid w:val="00BF231C"/>
    <w:rsid w:val="00BF2B09"/>
    <w:rsid w:val="00BF2FD0"/>
    <w:rsid w:val="00BF51E5"/>
    <w:rsid w:val="00BF590C"/>
    <w:rsid w:val="00BF6817"/>
    <w:rsid w:val="00BF74A6"/>
    <w:rsid w:val="00C0112B"/>
    <w:rsid w:val="00C013AD"/>
    <w:rsid w:val="00C032F4"/>
    <w:rsid w:val="00C03DF2"/>
    <w:rsid w:val="00C04904"/>
    <w:rsid w:val="00C04DA0"/>
    <w:rsid w:val="00C056B3"/>
    <w:rsid w:val="00C103E5"/>
    <w:rsid w:val="00C13319"/>
    <w:rsid w:val="00C13EE9"/>
    <w:rsid w:val="00C21540"/>
    <w:rsid w:val="00C21906"/>
    <w:rsid w:val="00C21BFA"/>
    <w:rsid w:val="00C22148"/>
    <w:rsid w:val="00C222F1"/>
    <w:rsid w:val="00C23101"/>
    <w:rsid w:val="00C24C8D"/>
    <w:rsid w:val="00C255C8"/>
    <w:rsid w:val="00C25FE2"/>
    <w:rsid w:val="00C26B53"/>
    <w:rsid w:val="00C26FA9"/>
    <w:rsid w:val="00C279B2"/>
    <w:rsid w:val="00C30F31"/>
    <w:rsid w:val="00C32306"/>
    <w:rsid w:val="00C33E50"/>
    <w:rsid w:val="00C34C20"/>
    <w:rsid w:val="00C34E9D"/>
    <w:rsid w:val="00C35A3E"/>
    <w:rsid w:val="00C40187"/>
    <w:rsid w:val="00C407F6"/>
    <w:rsid w:val="00C42130"/>
    <w:rsid w:val="00C423A4"/>
    <w:rsid w:val="00C42BE1"/>
    <w:rsid w:val="00C44BF5"/>
    <w:rsid w:val="00C45F45"/>
    <w:rsid w:val="00C46874"/>
    <w:rsid w:val="00C479A1"/>
    <w:rsid w:val="00C500AA"/>
    <w:rsid w:val="00C521D6"/>
    <w:rsid w:val="00C55232"/>
    <w:rsid w:val="00C553A4"/>
    <w:rsid w:val="00C55A06"/>
    <w:rsid w:val="00C55B72"/>
    <w:rsid w:val="00C55D03"/>
    <w:rsid w:val="00C567E7"/>
    <w:rsid w:val="00C601BC"/>
    <w:rsid w:val="00C62A7A"/>
    <w:rsid w:val="00C62EAE"/>
    <w:rsid w:val="00C6329F"/>
    <w:rsid w:val="00C63340"/>
    <w:rsid w:val="00C641E4"/>
    <w:rsid w:val="00C643F9"/>
    <w:rsid w:val="00C64E95"/>
    <w:rsid w:val="00C64EF9"/>
    <w:rsid w:val="00C669A9"/>
    <w:rsid w:val="00C71372"/>
    <w:rsid w:val="00C72410"/>
    <w:rsid w:val="00C7287F"/>
    <w:rsid w:val="00C7359F"/>
    <w:rsid w:val="00C7456C"/>
    <w:rsid w:val="00C75C91"/>
    <w:rsid w:val="00C76599"/>
    <w:rsid w:val="00C80852"/>
    <w:rsid w:val="00C80CB8"/>
    <w:rsid w:val="00C819F8"/>
    <w:rsid w:val="00C8248C"/>
    <w:rsid w:val="00C847DA"/>
    <w:rsid w:val="00C84E33"/>
    <w:rsid w:val="00C85124"/>
    <w:rsid w:val="00C86187"/>
    <w:rsid w:val="00C86D6F"/>
    <w:rsid w:val="00C905FC"/>
    <w:rsid w:val="00C92B5F"/>
    <w:rsid w:val="00C92D03"/>
    <w:rsid w:val="00C9319C"/>
    <w:rsid w:val="00C93D74"/>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AB1"/>
    <w:rsid w:val="00CC3C2F"/>
    <w:rsid w:val="00CC4AC8"/>
    <w:rsid w:val="00CC5233"/>
    <w:rsid w:val="00CC5BD1"/>
    <w:rsid w:val="00CC5DE6"/>
    <w:rsid w:val="00CC6E4E"/>
    <w:rsid w:val="00CC6FE8"/>
    <w:rsid w:val="00CC7202"/>
    <w:rsid w:val="00CC7656"/>
    <w:rsid w:val="00CD2808"/>
    <w:rsid w:val="00CD28BF"/>
    <w:rsid w:val="00CD4092"/>
    <w:rsid w:val="00CD4A20"/>
    <w:rsid w:val="00CD4ED1"/>
    <w:rsid w:val="00CD50A1"/>
    <w:rsid w:val="00CD519E"/>
    <w:rsid w:val="00CD5916"/>
    <w:rsid w:val="00CD74AC"/>
    <w:rsid w:val="00CE0C4F"/>
    <w:rsid w:val="00CE2CF6"/>
    <w:rsid w:val="00CE30EA"/>
    <w:rsid w:val="00CE3EDB"/>
    <w:rsid w:val="00CE51D7"/>
    <w:rsid w:val="00CF048A"/>
    <w:rsid w:val="00CF04AF"/>
    <w:rsid w:val="00CF155A"/>
    <w:rsid w:val="00CF2264"/>
    <w:rsid w:val="00CF2947"/>
    <w:rsid w:val="00CF2F95"/>
    <w:rsid w:val="00CF686F"/>
    <w:rsid w:val="00CF6E60"/>
    <w:rsid w:val="00CF7BCA"/>
    <w:rsid w:val="00CF7D17"/>
    <w:rsid w:val="00D004F5"/>
    <w:rsid w:val="00D008FD"/>
    <w:rsid w:val="00D0321C"/>
    <w:rsid w:val="00D035EC"/>
    <w:rsid w:val="00D06AB1"/>
    <w:rsid w:val="00D072ED"/>
    <w:rsid w:val="00D074F4"/>
    <w:rsid w:val="00D07A16"/>
    <w:rsid w:val="00D1067E"/>
    <w:rsid w:val="00D10F50"/>
    <w:rsid w:val="00D11272"/>
    <w:rsid w:val="00D126F5"/>
    <w:rsid w:val="00D1489E"/>
    <w:rsid w:val="00D14CE4"/>
    <w:rsid w:val="00D15A23"/>
    <w:rsid w:val="00D20737"/>
    <w:rsid w:val="00D21595"/>
    <w:rsid w:val="00D21813"/>
    <w:rsid w:val="00D21E81"/>
    <w:rsid w:val="00D22260"/>
    <w:rsid w:val="00D223DE"/>
    <w:rsid w:val="00D25083"/>
    <w:rsid w:val="00D25E37"/>
    <w:rsid w:val="00D2661A"/>
    <w:rsid w:val="00D273BD"/>
    <w:rsid w:val="00D27582"/>
    <w:rsid w:val="00D27EC4"/>
    <w:rsid w:val="00D30221"/>
    <w:rsid w:val="00D3041B"/>
    <w:rsid w:val="00D30949"/>
    <w:rsid w:val="00D30982"/>
    <w:rsid w:val="00D313C0"/>
    <w:rsid w:val="00D32719"/>
    <w:rsid w:val="00D33333"/>
    <w:rsid w:val="00D34474"/>
    <w:rsid w:val="00D34DFD"/>
    <w:rsid w:val="00D352A2"/>
    <w:rsid w:val="00D37A20"/>
    <w:rsid w:val="00D4162B"/>
    <w:rsid w:val="00D436C0"/>
    <w:rsid w:val="00D44AC2"/>
    <w:rsid w:val="00D4514F"/>
    <w:rsid w:val="00D451E2"/>
    <w:rsid w:val="00D45854"/>
    <w:rsid w:val="00D45E89"/>
    <w:rsid w:val="00D45E8D"/>
    <w:rsid w:val="00D466AE"/>
    <w:rsid w:val="00D4734F"/>
    <w:rsid w:val="00D50AC9"/>
    <w:rsid w:val="00D51BF3"/>
    <w:rsid w:val="00D568C9"/>
    <w:rsid w:val="00D6117D"/>
    <w:rsid w:val="00D62F28"/>
    <w:rsid w:val="00D639F3"/>
    <w:rsid w:val="00D63ABC"/>
    <w:rsid w:val="00D63E2E"/>
    <w:rsid w:val="00D65319"/>
    <w:rsid w:val="00D656B9"/>
    <w:rsid w:val="00D66846"/>
    <w:rsid w:val="00D675FB"/>
    <w:rsid w:val="00D71F25"/>
    <w:rsid w:val="00D72A9C"/>
    <w:rsid w:val="00D77031"/>
    <w:rsid w:val="00D80E5C"/>
    <w:rsid w:val="00D8145E"/>
    <w:rsid w:val="00D815F1"/>
    <w:rsid w:val="00D820C0"/>
    <w:rsid w:val="00D83412"/>
    <w:rsid w:val="00D84941"/>
    <w:rsid w:val="00D84FA1"/>
    <w:rsid w:val="00D851F0"/>
    <w:rsid w:val="00D86DB7"/>
    <w:rsid w:val="00D926D0"/>
    <w:rsid w:val="00D93030"/>
    <w:rsid w:val="00D950E1"/>
    <w:rsid w:val="00D952A6"/>
    <w:rsid w:val="00D962CE"/>
    <w:rsid w:val="00D96679"/>
    <w:rsid w:val="00D96F5A"/>
    <w:rsid w:val="00D97F99"/>
    <w:rsid w:val="00DA1A93"/>
    <w:rsid w:val="00DA1E08"/>
    <w:rsid w:val="00DA24F8"/>
    <w:rsid w:val="00DA28E8"/>
    <w:rsid w:val="00DA38D3"/>
    <w:rsid w:val="00DA3932"/>
    <w:rsid w:val="00DA3AFC"/>
    <w:rsid w:val="00DA41AA"/>
    <w:rsid w:val="00DA4BDC"/>
    <w:rsid w:val="00DA516A"/>
    <w:rsid w:val="00DA546C"/>
    <w:rsid w:val="00DA64F8"/>
    <w:rsid w:val="00DA6C15"/>
    <w:rsid w:val="00DA7181"/>
    <w:rsid w:val="00DB0258"/>
    <w:rsid w:val="00DB0DEE"/>
    <w:rsid w:val="00DB38EE"/>
    <w:rsid w:val="00DB498B"/>
    <w:rsid w:val="00DB5B00"/>
    <w:rsid w:val="00DB5C7D"/>
    <w:rsid w:val="00DB63E8"/>
    <w:rsid w:val="00DB66CA"/>
    <w:rsid w:val="00DB6BCA"/>
    <w:rsid w:val="00DB73F7"/>
    <w:rsid w:val="00DB78D4"/>
    <w:rsid w:val="00DC0321"/>
    <w:rsid w:val="00DC173F"/>
    <w:rsid w:val="00DC17EA"/>
    <w:rsid w:val="00DC1AFF"/>
    <w:rsid w:val="00DC3067"/>
    <w:rsid w:val="00DC370B"/>
    <w:rsid w:val="00DC5B90"/>
    <w:rsid w:val="00DC642A"/>
    <w:rsid w:val="00DC6D37"/>
    <w:rsid w:val="00DD00FF"/>
    <w:rsid w:val="00DD0619"/>
    <w:rsid w:val="00DD07FB"/>
    <w:rsid w:val="00DD08CF"/>
    <w:rsid w:val="00DD1A72"/>
    <w:rsid w:val="00DD25C6"/>
    <w:rsid w:val="00DD292B"/>
    <w:rsid w:val="00DD30F4"/>
    <w:rsid w:val="00DD4FE5"/>
    <w:rsid w:val="00DD54B0"/>
    <w:rsid w:val="00DD57EE"/>
    <w:rsid w:val="00DD6617"/>
    <w:rsid w:val="00DD6BCC"/>
    <w:rsid w:val="00DD7489"/>
    <w:rsid w:val="00DE0A4B"/>
    <w:rsid w:val="00DE189A"/>
    <w:rsid w:val="00DE220D"/>
    <w:rsid w:val="00DE2410"/>
    <w:rsid w:val="00DE2939"/>
    <w:rsid w:val="00DE2E7D"/>
    <w:rsid w:val="00DE5CEF"/>
    <w:rsid w:val="00DE69C2"/>
    <w:rsid w:val="00DE6E81"/>
    <w:rsid w:val="00DE6F11"/>
    <w:rsid w:val="00DE703F"/>
    <w:rsid w:val="00DE7595"/>
    <w:rsid w:val="00DF1961"/>
    <w:rsid w:val="00DF2842"/>
    <w:rsid w:val="00DF44DE"/>
    <w:rsid w:val="00DF561A"/>
    <w:rsid w:val="00DF6CEB"/>
    <w:rsid w:val="00DF7913"/>
    <w:rsid w:val="00E01138"/>
    <w:rsid w:val="00E01312"/>
    <w:rsid w:val="00E02DFB"/>
    <w:rsid w:val="00E030F9"/>
    <w:rsid w:val="00E0311A"/>
    <w:rsid w:val="00E03138"/>
    <w:rsid w:val="00E06404"/>
    <w:rsid w:val="00E076A9"/>
    <w:rsid w:val="00E11A85"/>
    <w:rsid w:val="00E12495"/>
    <w:rsid w:val="00E12F3A"/>
    <w:rsid w:val="00E15CCD"/>
    <w:rsid w:val="00E16A72"/>
    <w:rsid w:val="00E170B3"/>
    <w:rsid w:val="00E173A1"/>
    <w:rsid w:val="00E202EF"/>
    <w:rsid w:val="00E210B5"/>
    <w:rsid w:val="00E23D99"/>
    <w:rsid w:val="00E2552F"/>
    <w:rsid w:val="00E30978"/>
    <w:rsid w:val="00E3137A"/>
    <w:rsid w:val="00E31885"/>
    <w:rsid w:val="00E32CCF"/>
    <w:rsid w:val="00E34A98"/>
    <w:rsid w:val="00E35D1E"/>
    <w:rsid w:val="00E364F9"/>
    <w:rsid w:val="00E365FA"/>
    <w:rsid w:val="00E36789"/>
    <w:rsid w:val="00E41FEB"/>
    <w:rsid w:val="00E44A83"/>
    <w:rsid w:val="00E461CA"/>
    <w:rsid w:val="00E464C7"/>
    <w:rsid w:val="00E47AB3"/>
    <w:rsid w:val="00E502C1"/>
    <w:rsid w:val="00E502DD"/>
    <w:rsid w:val="00E50D3A"/>
    <w:rsid w:val="00E51387"/>
    <w:rsid w:val="00E51E68"/>
    <w:rsid w:val="00E52EFD"/>
    <w:rsid w:val="00E538AF"/>
    <w:rsid w:val="00E5408A"/>
    <w:rsid w:val="00E56800"/>
    <w:rsid w:val="00E60C63"/>
    <w:rsid w:val="00E62FF9"/>
    <w:rsid w:val="00E635D6"/>
    <w:rsid w:val="00E639BC"/>
    <w:rsid w:val="00E664CC"/>
    <w:rsid w:val="00E70388"/>
    <w:rsid w:val="00E70444"/>
    <w:rsid w:val="00E70455"/>
    <w:rsid w:val="00E70738"/>
    <w:rsid w:val="00E70F92"/>
    <w:rsid w:val="00E74C54"/>
    <w:rsid w:val="00E7698D"/>
    <w:rsid w:val="00E77257"/>
    <w:rsid w:val="00E77A03"/>
    <w:rsid w:val="00E822E8"/>
    <w:rsid w:val="00E82554"/>
    <w:rsid w:val="00E82606"/>
    <w:rsid w:val="00E836D5"/>
    <w:rsid w:val="00E846C8"/>
    <w:rsid w:val="00E84957"/>
    <w:rsid w:val="00E84A55"/>
    <w:rsid w:val="00E85BFF"/>
    <w:rsid w:val="00E8715F"/>
    <w:rsid w:val="00E90391"/>
    <w:rsid w:val="00E904E2"/>
    <w:rsid w:val="00E906C2"/>
    <w:rsid w:val="00E91784"/>
    <w:rsid w:val="00E9311F"/>
    <w:rsid w:val="00E934D1"/>
    <w:rsid w:val="00E94AF0"/>
    <w:rsid w:val="00E95D13"/>
    <w:rsid w:val="00E95DD3"/>
    <w:rsid w:val="00E95E14"/>
    <w:rsid w:val="00E969D5"/>
    <w:rsid w:val="00E96A96"/>
    <w:rsid w:val="00EA0FD9"/>
    <w:rsid w:val="00EA58D1"/>
    <w:rsid w:val="00EA61BC"/>
    <w:rsid w:val="00EA681A"/>
    <w:rsid w:val="00EA735B"/>
    <w:rsid w:val="00EB023F"/>
    <w:rsid w:val="00EB1E69"/>
    <w:rsid w:val="00EB2086"/>
    <w:rsid w:val="00EB2A15"/>
    <w:rsid w:val="00EB387C"/>
    <w:rsid w:val="00EB56A7"/>
    <w:rsid w:val="00EB5EDF"/>
    <w:rsid w:val="00EB60FE"/>
    <w:rsid w:val="00EB6A40"/>
    <w:rsid w:val="00EB74DB"/>
    <w:rsid w:val="00EC3845"/>
    <w:rsid w:val="00EC52B1"/>
    <w:rsid w:val="00EC5359"/>
    <w:rsid w:val="00EC562A"/>
    <w:rsid w:val="00ED067A"/>
    <w:rsid w:val="00ED2687"/>
    <w:rsid w:val="00ED2B50"/>
    <w:rsid w:val="00ED77D6"/>
    <w:rsid w:val="00EE0350"/>
    <w:rsid w:val="00EE0678"/>
    <w:rsid w:val="00EE0719"/>
    <w:rsid w:val="00EE0E80"/>
    <w:rsid w:val="00EE17C0"/>
    <w:rsid w:val="00EE613F"/>
    <w:rsid w:val="00EE7295"/>
    <w:rsid w:val="00EE7869"/>
    <w:rsid w:val="00EF054A"/>
    <w:rsid w:val="00EF10E4"/>
    <w:rsid w:val="00EF11B7"/>
    <w:rsid w:val="00EF3235"/>
    <w:rsid w:val="00EF32E0"/>
    <w:rsid w:val="00EF3424"/>
    <w:rsid w:val="00EF3EAD"/>
    <w:rsid w:val="00EF6323"/>
    <w:rsid w:val="00EF7E72"/>
    <w:rsid w:val="00F06656"/>
    <w:rsid w:val="00F06D37"/>
    <w:rsid w:val="00F07B9D"/>
    <w:rsid w:val="00F10201"/>
    <w:rsid w:val="00F11003"/>
    <w:rsid w:val="00F11586"/>
    <w:rsid w:val="00F1183B"/>
    <w:rsid w:val="00F11C9F"/>
    <w:rsid w:val="00F12099"/>
    <w:rsid w:val="00F12263"/>
    <w:rsid w:val="00F1346E"/>
    <w:rsid w:val="00F13A1D"/>
    <w:rsid w:val="00F1409D"/>
    <w:rsid w:val="00F14214"/>
    <w:rsid w:val="00F157A9"/>
    <w:rsid w:val="00F15E32"/>
    <w:rsid w:val="00F1703D"/>
    <w:rsid w:val="00F25BB6"/>
    <w:rsid w:val="00F25F3F"/>
    <w:rsid w:val="00F26B7E"/>
    <w:rsid w:val="00F27A3B"/>
    <w:rsid w:val="00F32296"/>
    <w:rsid w:val="00F33817"/>
    <w:rsid w:val="00F3426F"/>
    <w:rsid w:val="00F344E6"/>
    <w:rsid w:val="00F36D88"/>
    <w:rsid w:val="00F37433"/>
    <w:rsid w:val="00F37F3D"/>
    <w:rsid w:val="00F420D5"/>
    <w:rsid w:val="00F42307"/>
    <w:rsid w:val="00F44789"/>
    <w:rsid w:val="00F451EA"/>
    <w:rsid w:val="00F45447"/>
    <w:rsid w:val="00F456C6"/>
    <w:rsid w:val="00F4577B"/>
    <w:rsid w:val="00F46496"/>
    <w:rsid w:val="00F469C4"/>
    <w:rsid w:val="00F474D0"/>
    <w:rsid w:val="00F50179"/>
    <w:rsid w:val="00F513BE"/>
    <w:rsid w:val="00F515EE"/>
    <w:rsid w:val="00F5276E"/>
    <w:rsid w:val="00F541BF"/>
    <w:rsid w:val="00F54AEB"/>
    <w:rsid w:val="00F56511"/>
    <w:rsid w:val="00F61125"/>
    <w:rsid w:val="00F6194E"/>
    <w:rsid w:val="00F6218B"/>
    <w:rsid w:val="00F623AC"/>
    <w:rsid w:val="00F628ED"/>
    <w:rsid w:val="00F62E9E"/>
    <w:rsid w:val="00F635E0"/>
    <w:rsid w:val="00F6412A"/>
    <w:rsid w:val="00F64ABE"/>
    <w:rsid w:val="00F65893"/>
    <w:rsid w:val="00F66A4A"/>
    <w:rsid w:val="00F71E22"/>
    <w:rsid w:val="00F72142"/>
    <w:rsid w:val="00F72AE7"/>
    <w:rsid w:val="00F8004D"/>
    <w:rsid w:val="00F800FB"/>
    <w:rsid w:val="00F819B9"/>
    <w:rsid w:val="00F82C6A"/>
    <w:rsid w:val="00F833BA"/>
    <w:rsid w:val="00F845A5"/>
    <w:rsid w:val="00F84FD0"/>
    <w:rsid w:val="00F859A8"/>
    <w:rsid w:val="00F86D87"/>
    <w:rsid w:val="00F87104"/>
    <w:rsid w:val="00F9108B"/>
    <w:rsid w:val="00F91349"/>
    <w:rsid w:val="00F93A8A"/>
    <w:rsid w:val="00F95248"/>
    <w:rsid w:val="00F956A9"/>
    <w:rsid w:val="00F963ED"/>
    <w:rsid w:val="00F966CF"/>
    <w:rsid w:val="00F96CAE"/>
    <w:rsid w:val="00F97C99"/>
    <w:rsid w:val="00FA02A9"/>
    <w:rsid w:val="00FA1598"/>
    <w:rsid w:val="00FA662D"/>
    <w:rsid w:val="00FA6796"/>
    <w:rsid w:val="00FA73B1"/>
    <w:rsid w:val="00FB0CB9"/>
    <w:rsid w:val="00FB231D"/>
    <w:rsid w:val="00FB2DDC"/>
    <w:rsid w:val="00FB2F53"/>
    <w:rsid w:val="00FB3D0B"/>
    <w:rsid w:val="00FB45F1"/>
    <w:rsid w:val="00FB4A72"/>
    <w:rsid w:val="00FB54E8"/>
    <w:rsid w:val="00FB55E9"/>
    <w:rsid w:val="00FB7054"/>
    <w:rsid w:val="00FC03FF"/>
    <w:rsid w:val="00FC0A49"/>
    <w:rsid w:val="00FC17B7"/>
    <w:rsid w:val="00FC2699"/>
    <w:rsid w:val="00FC2CB7"/>
    <w:rsid w:val="00FC2E81"/>
    <w:rsid w:val="00FC4090"/>
    <w:rsid w:val="00FC40F0"/>
    <w:rsid w:val="00FC43DF"/>
    <w:rsid w:val="00FC53BA"/>
    <w:rsid w:val="00FC55B4"/>
    <w:rsid w:val="00FC771E"/>
    <w:rsid w:val="00FC7FE6"/>
    <w:rsid w:val="00FD00E6"/>
    <w:rsid w:val="00FD01E3"/>
    <w:rsid w:val="00FD09A1"/>
    <w:rsid w:val="00FD2A7C"/>
    <w:rsid w:val="00FD4EAF"/>
    <w:rsid w:val="00FD4F9E"/>
    <w:rsid w:val="00FD59EB"/>
    <w:rsid w:val="00FD7299"/>
    <w:rsid w:val="00FE15A9"/>
    <w:rsid w:val="00FE1FBE"/>
    <w:rsid w:val="00FE302A"/>
    <w:rsid w:val="00FE3901"/>
    <w:rsid w:val="00FE39D3"/>
    <w:rsid w:val="00FE4BCE"/>
    <w:rsid w:val="00FE54AE"/>
    <w:rsid w:val="00FE576A"/>
    <w:rsid w:val="00FE7E79"/>
    <w:rsid w:val="00FF0270"/>
    <w:rsid w:val="00FF3E7D"/>
    <w:rsid w:val="00FF4BBC"/>
    <w:rsid w:val="00FF5B99"/>
    <w:rsid w:val="00FF5D83"/>
    <w:rsid w:val="00FF665E"/>
    <w:rsid w:val="00FF6ADC"/>
    <w:rsid w:val="00FF6FBA"/>
    <w:rsid w:val="00FF730C"/>
    <w:rsid w:val="00FF73F4"/>
    <w:rsid w:val="00FF7A58"/>
    <w:rsid w:val="00FF7CE4"/>
    <w:rsid w:val="00FF7E39"/>
    <w:rsid w:val="02235E5A"/>
    <w:rsid w:val="02897EE9"/>
    <w:rsid w:val="02DE24A9"/>
    <w:rsid w:val="033D54E5"/>
    <w:rsid w:val="086413CD"/>
    <w:rsid w:val="0B5C4BCA"/>
    <w:rsid w:val="0C2757DB"/>
    <w:rsid w:val="14701279"/>
    <w:rsid w:val="164F1D52"/>
    <w:rsid w:val="16832127"/>
    <w:rsid w:val="176B7BA8"/>
    <w:rsid w:val="1A831965"/>
    <w:rsid w:val="1CCF17EE"/>
    <w:rsid w:val="22DE77EF"/>
    <w:rsid w:val="232B022D"/>
    <w:rsid w:val="24370A79"/>
    <w:rsid w:val="2A215D73"/>
    <w:rsid w:val="2EF05679"/>
    <w:rsid w:val="2F8B7BC0"/>
    <w:rsid w:val="2FA452EF"/>
    <w:rsid w:val="30862DD1"/>
    <w:rsid w:val="311A02DB"/>
    <w:rsid w:val="398F6A3A"/>
    <w:rsid w:val="3A065862"/>
    <w:rsid w:val="3B935018"/>
    <w:rsid w:val="3F146093"/>
    <w:rsid w:val="47845486"/>
    <w:rsid w:val="4A5779E6"/>
    <w:rsid w:val="4A5E135E"/>
    <w:rsid w:val="4EEB7C42"/>
    <w:rsid w:val="4FBB02BF"/>
    <w:rsid w:val="4FD70748"/>
    <w:rsid w:val="50257745"/>
    <w:rsid w:val="51197162"/>
    <w:rsid w:val="53605915"/>
    <w:rsid w:val="564F0170"/>
    <w:rsid w:val="56F32A95"/>
    <w:rsid w:val="580E77F3"/>
    <w:rsid w:val="5B92261F"/>
    <w:rsid w:val="5C8404F5"/>
    <w:rsid w:val="5D5218F8"/>
    <w:rsid w:val="606E2A9E"/>
    <w:rsid w:val="6A242597"/>
    <w:rsid w:val="6A6336B0"/>
    <w:rsid w:val="6DAC316A"/>
    <w:rsid w:val="6E167076"/>
    <w:rsid w:val="74A31F03"/>
    <w:rsid w:val="76DA6471"/>
    <w:rsid w:val="771D64C9"/>
    <w:rsid w:val="79054BB3"/>
    <w:rsid w:val="7B141E12"/>
    <w:rsid w:val="7B7D248A"/>
    <w:rsid w:val="7D1B0190"/>
    <w:rsid w:val="7EA73342"/>
    <w:rsid w:val="7EBC65A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6"/>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7"/>
    <w:qFormat/>
    <w:uiPriority w:val="0"/>
    <w:pPr>
      <w:keepNext/>
      <w:keepLines/>
      <w:spacing w:before="260" w:after="260" w:line="416" w:lineRule="auto"/>
      <w:outlineLvl w:val="2"/>
    </w:pPr>
    <w:rPr>
      <w:b/>
      <w:bCs/>
      <w:sz w:val="32"/>
      <w:szCs w:val="32"/>
    </w:rPr>
  </w:style>
  <w:style w:type="paragraph" w:styleId="5">
    <w:name w:val="heading 4"/>
    <w:basedOn w:val="1"/>
    <w:next w:val="1"/>
    <w:link w:val="38"/>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9"/>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0"/>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1"/>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2"/>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3"/>
    <w:qFormat/>
    <w:uiPriority w:val="0"/>
    <w:pPr>
      <w:keepNext/>
      <w:keepLines/>
      <w:adjustRightInd/>
      <w:spacing w:before="240" w:after="64" w:line="320" w:lineRule="auto"/>
      <w:outlineLvl w:val="8"/>
    </w:pPr>
    <w:rPr>
      <w:rFonts w:ascii="Arial" w:hAnsi="Arial" w:eastAsia="黑体"/>
    </w:rPr>
  </w:style>
  <w:style w:type="character" w:default="1" w:styleId="29">
    <w:name w:val="Default Paragraph Font"/>
    <w:semiHidden/>
    <w:unhideWhenUsed/>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uiPriority w:val="0"/>
    <w:pPr>
      <w:ind w:firstLine="420"/>
    </w:pPr>
  </w:style>
  <w:style w:type="paragraph" w:styleId="13">
    <w:name w:val="Document Map"/>
    <w:basedOn w:val="1"/>
    <w:link w:val="231"/>
    <w:semiHidden/>
    <w:unhideWhenUsed/>
    <w:qFormat/>
    <w:uiPriority w:val="99"/>
    <w:rPr>
      <w:rFonts w:ascii="宋体"/>
      <w:sz w:val="18"/>
      <w:szCs w:val="18"/>
    </w:rPr>
  </w:style>
  <w:style w:type="paragraph" w:styleId="14">
    <w:name w:val="Body Text"/>
    <w:basedOn w:val="1"/>
    <w:link w:val="87"/>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46"/>
    <w:semiHidden/>
    <w:unhideWhenUsed/>
    <w:qFormat/>
    <w:uiPriority w:val="99"/>
    <w:rPr>
      <w:sz w:val="18"/>
      <w:szCs w:val="18"/>
    </w:rPr>
  </w:style>
  <w:style w:type="paragraph" w:styleId="18">
    <w:name w:val="footer"/>
    <w:basedOn w:val="1"/>
    <w:link w:val="45"/>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4"/>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0"/>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Title"/>
    <w:basedOn w:val="1"/>
    <w:link w:val="49"/>
    <w:qFormat/>
    <w:uiPriority w:val="0"/>
    <w:pPr>
      <w:spacing w:before="240" w:after="60"/>
      <w:jc w:val="center"/>
      <w:outlineLvl w:val="0"/>
    </w:pPr>
    <w:rPr>
      <w:rFonts w:ascii="Arial" w:hAnsi="Arial" w:cs="Arial"/>
      <w:b/>
      <w:bCs/>
      <w:sz w:val="32"/>
      <w:szCs w:val="32"/>
    </w:rPr>
  </w:style>
  <w:style w:type="table" w:styleId="28">
    <w:name w:val="Table Grid"/>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qFormat/>
    <w:uiPriority w:val="22"/>
    <w:rPr>
      <w:b/>
      <w:bCs/>
    </w:rPr>
  </w:style>
  <w:style w:type="character" w:styleId="31">
    <w:name w:val="page number"/>
    <w:qFormat/>
    <w:uiPriority w:val="0"/>
    <w:rPr>
      <w:rFonts w:ascii="宋体" w:hAnsi="Times New Roman" w:eastAsia="宋体"/>
      <w:sz w:val="18"/>
    </w:rPr>
  </w:style>
  <w:style w:type="character" w:styleId="32">
    <w:name w:val="Emphasis"/>
    <w:qFormat/>
    <w:uiPriority w:val="20"/>
    <w:rPr>
      <w:i/>
      <w:iCs/>
    </w:rPr>
  </w:style>
  <w:style w:type="character" w:styleId="33">
    <w:name w:val="Hyperlink"/>
    <w:qFormat/>
    <w:uiPriority w:val="99"/>
    <w:rPr>
      <w:rFonts w:ascii="宋体" w:hAnsi="Times New Roman" w:eastAsia="宋体"/>
      <w:color w:val="auto"/>
      <w:spacing w:val="0"/>
      <w:w w:val="100"/>
      <w:position w:val="0"/>
      <w:sz w:val="21"/>
      <w:u w:val="none"/>
      <w:vertAlign w:val="baseline"/>
    </w:rPr>
  </w:style>
  <w:style w:type="character" w:styleId="34">
    <w:name w:val="footnote reference"/>
    <w:semiHidden/>
    <w:qFormat/>
    <w:uiPriority w:val="0"/>
    <w:rPr>
      <w:rFonts w:ascii="宋体" w:hAnsi="宋体" w:eastAsia="宋体" w:cs="Times New Roman"/>
      <w:spacing w:val="0"/>
      <w:sz w:val="18"/>
      <w:vertAlign w:val="superscript"/>
    </w:rPr>
  </w:style>
  <w:style w:type="character" w:customStyle="1" w:styleId="35">
    <w:name w:val="标题 1 Char"/>
    <w:link w:val="2"/>
    <w:qFormat/>
    <w:uiPriority w:val="0"/>
    <w:rPr>
      <w:rFonts w:ascii="Times New Roman" w:hAnsi="Times New Roman" w:eastAsia="宋体" w:cs="Times New Roman"/>
      <w:b/>
      <w:bCs/>
      <w:kern w:val="44"/>
      <w:sz w:val="44"/>
      <w:szCs w:val="44"/>
    </w:rPr>
  </w:style>
  <w:style w:type="character" w:customStyle="1" w:styleId="36">
    <w:name w:val="标题 2 Char"/>
    <w:link w:val="3"/>
    <w:qFormat/>
    <w:uiPriority w:val="0"/>
    <w:rPr>
      <w:rFonts w:ascii="Arial" w:hAnsi="Arial" w:eastAsia="黑体" w:cs="Times New Roman"/>
      <w:b/>
      <w:bCs/>
      <w:sz w:val="32"/>
      <w:szCs w:val="32"/>
    </w:rPr>
  </w:style>
  <w:style w:type="character" w:customStyle="1" w:styleId="37">
    <w:name w:val="标题 3 Char"/>
    <w:link w:val="4"/>
    <w:qFormat/>
    <w:uiPriority w:val="0"/>
    <w:rPr>
      <w:rFonts w:ascii="Times New Roman" w:hAnsi="Times New Roman" w:eastAsia="宋体" w:cs="Times New Roman"/>
      <w:b/>
      <w:bCs/>
      <w:sz w:val="32"/>
      <w:szCs w:val="32"/>
    </w:rPr>
  </w:style>
  <w:style w:type="character" w:customStyle="1" w:styleId="38">
    <w:name w:val="标题 4 Char"/>
    <w:link w:val="5"/>
    <w:qFormat/>
    <w:uiPriority w:val="0"/>
    <w:rPr>
      <w:rFonts w:ascii="Arial" w:hAnsi="Arial" w:eastAsia="黑体" w:cs="Times New Roman"/>
      <w:b/>
      <w:bCs/>
      <w:sz w:val="28"/>
      <w:szCs w:val="28"/>
    </w:rPr>
  </w:style>
  <w:style w:type="character" w:customStyle="1" w:styleId="39">
    <w:name w:val="标题 5 Char"/>
    <w:link w:val="6"/>
    <w:qFormat/>
    <w:uiPriority w:val="0"/>
    <w:rPr>
      <w:rFonts w:ascii="Times New Roman" w:hAnsi="Times New Roman" w:eastAsia="宋体" w:cs="Times New Roman"/>
      <w:b/>
      <w:bCs/>
      <w:sz w:val="28"/>
      <w:szCs w:val="28"/>
    </w:rPr>
  </w:style>
  <w:style w:type="character" w:customStyle="1" w:styleId="40">
    <w:name w:val="标题 6 Char"/>
    <w:link w:val="7"/>
    <w:qFormat/>
    <w:uiPriority w:val="0"/>
    <w:rPr>
      <w:rFonts w:ascii="Arial" w:hAnsi="Arial" w:eastAsia="黑体" w:cs="Times New Roman"/>
      <w:b/>
      <w:bCs/>
      <w:sz w:val="24"/>
      <w:szCs w:val="24"/>
    </w:rPr>
  </w:style>
  <w:style w:type="character" w:customStyle="1" w:styleId="41">
    <w:name w:val="标题 7 Char"/>
    <w:link w:val="8"/>
    <w:qFormat/>
    <w:uiPriority w:val="0"/>
    <w:rPr>
      <w:rFonts w:ascii="Times New Roman" w:hAnsi="Times New Roman" w:eastAsia="宋体" w:cs="Times New Roman"/>
      <w:b/>
      <w:bCs/>
      <w:sz w:val="24"/>
      <w:szCs w:val="24"/>
    </w:rPr>
  </w:style>
  <w:style w:type="character" w:customStyle="1" w:styleId="42">
    <w:name w:val="标题 8 Char"/>
    <w:link w:val="9"/>
    <w:qFormat/>
    <w:uiPriority w:val="0"/>
    <w:rPr>
      <w:rFonts w:ascii="Arial" w:hAnsi="Arial" w:eastAsia="黑体" w:cs="Times New Roman"/>
      <w:sz w:val="24"/>
      <w:szCs w:val="24"/>
    </w:rPr>
  </w:style>
  <w:style w:type="character" w:customStyle="1" w:styleId="43">
    <w:name w:val="标题 9 Char"/>
    <w:link w:val="10"/>
    <w:qFormat/>
    <w:uiPriority w:val="0"/>
    <w:rPr>
      <w:rFonts w:ascii="Arial" w:hAnsi="Arial" w:eastAsia="黑体" w:cs="Times New Roman"/>
      <w:szCs w:val="21"/>
    </w:rPr>
  </w:style>
  <w:style w:type="character" w:customStyle="1" w:styleId="44">
    <w:name w:val="页眉 Char"/>
    <w:link w:val="19"/>
    <w:qFormat/>
    <w:uiPriority w:val="99"/>
    <w:rPr>
      <w:rFonts w:ascii="Times New Roman" w:hAnsi="Times New Roman" w:eastAsia="宋体" w:cs="Times New Roman"/>
      <w:sz w:val="18"/>
      <w:szCs w:val="18"/>
    </w:rPr>
  </w:style>
  <w:style w:type="character" w:customStyle="1" w:styleId="45">
    <w:name w:val="页脚 Char"/>
    <w:link w:val="18"/>
    <w:qFormat/>
    <w:uiPriority w:val="99"/>
    <w:rPr>
      <w:rFonts w:ascii="宋体" w:hAnsi="Times New Roman" w:eastAsia="宋体" w:cs="Times New Roman"/>
      <w:sz w:val="18"/>
      <w:szCs w:val="18"/>
    </w:rPr>
  </w:style>
  <w:style w:type="character" w:customStyle="1" w:styleId="46">
    <w:name w:val="批注框文本 Char"/>
    <w:link w:val="17"/>
    <w:semiHidden/>
    <w:qFormat/>
    <w:uiPriority w:val="99"/>
    <w:rPr>
      <w:sz w:val="18"/>
      <w:szCs w:val="18"/>
    </w:rPr>
  </w:style>
  <w:style w:type="paragraph" w:styleId="47">
    <w:name w:val="Quote"/>
    <w:basedOn w:val="1"/>
    <w:next w:val="1"/>
    <w:link w:val="48"/>
    <w:qFormat/>
    <w:uiPriority w:val="29"/>
    <w:rPr>
      <w:i/>
      <w:iCs/>
      <w:color w:val="000000"/>
    </w:rPr>
  </w:style>
  <w:style w:type="character" w:customStyle="1" w:styleId="48">
    <w:name w:val="引用 Char"/>
    <w:link w:val="47"/>
    <w:qFormat/>
    <w:uiPriority w:val="29"/>
    <w:rPr>
      <w:i/>
      <w:iCs/>
      <w:color w:val="000000"/>
    </w:rPr>
  </w:style>
  <w:style w:type="character" w:customStyle="1" w:styleId="49">
    <w:name w:val="标题 Char"/>
    <w:link w:val="26"/>
    <w:qFormat/>
    <w:uiPriority w:val="0"/>
    <w:rPr>
      <w:rFonts w:ascii="Arial" w:hAnsi="Arial" w:eastAsia="宋体" w:cs="Arial"/>
      <w:b/>
      <w:bCs/>
      <w:sz w:val="32"/>
      <w:szCs w:val="32"/>
    </w:rPr>
  </w:style>
  <w:style w:type="paragraph" w:customStyle="1" w:styleId="5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1">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2">
    <w:name w:val="标准文件_页脚偶数页"/>
    <w:qFormat/>
    <w:uiPriority w:val="0"/>
    <w:pPr>
      <w:ind w:left="227"/>
    </w:pPr>
    <w:rPr>
      <w:rFonts w:ascii="宋体" w:hAnsi="Times New Roman" w:eastAsia="宋体" w:cs="Times New Roman"/>
      <w:sz w:val="18"/>
      <w:lang w:val="en-US" w:eastAsia="zh-CN" w:bidi="ar-SA"/>
    </w:rPr>
  </w:style>
  <w:style w:type="paragraph" w:customStyle="1" w:styleId="53">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4">
    <w:name w:val="标准书眉一"/>
    <w:qFormat/>
    <w:uiPriority w:val="0"/>
    <w:pPr>
      <w:jc w:val="both"/>
    </w:pPr>
    <w:rPr>
      <w:rFonts w:ascii="Times New Roman" w:hAnsi="Times New Roman" w:eastAsia="宋体" w:cs="Times New Roman"/>
      <w:lang w:val="en-US" w:eastAsia="zh-CN" w:bidi="ar-SA"/>
    </w:rPr>
  </w:style>
  <w:style w:type="paragraph" w:customStyle="1" w:styleId="55">
    <w:name w:val="标准文件_ICS"/>
    <w:basedOn w:val="1"/>
    <w:qFormat/>
    <w:uiPriority w:val="0"/>
    <w:pPr>
      <w:spacing w:line="0" w:lineRule="atLeast"/>
    </w:pPr>
    <w:rPr>
      <w:rFonts w:ascii="黑体" w:hAnsi="宋体" w:eastAsia="黑体"/>
    </w:rPr>
  </w:style>
  <w:style w:type="paragraph" w:customStyle="1" w:styleId="56">
    <w:name w:val="标准文件_标准正文"/>
    <w:basedOn w:val="1"/>
    <w:next w:val="57"/>
    <w:qFormat/>
    <w:uiPriority w:val="0"/>
    <w:pPr>
      <w:snapToGrid w:val="0"/>
      <w:ind w:firstLine="200" w:firstLineChars="200"/>
    </w:pPr>
    <w:rPr>
      <w:kern w:val="0"/>
    </w:rPr>
  </w:style>
  <w:style w:type="paragraph" w:customStyle="1" w:styleId="57">
    <w:name w:val="标准文件_段"/>
    <w:link w:val="18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8">
    <w:name w:val="标准文件_版本"/>
    <w:basedOn w:val="56"/>
    <w:qFormat/>
    <w:uiPriority w:val="0"/>
    <w:pPr>
      <w:adjustRightInd/>
      <w:snapToGrid/>
      <w:ind w:firstLine="0" w:firstLineChars="0"/>
    </w:pPr>
    <w:rPr>
      <w:rFonts w:ascii="宋体" w:hAnsi="宋体"/>
      <w:kern w:val="2"/>
    </w:rPr>
  </w:style>
  <w:style w:type="paragraph" w:customStyle="1" w:styleId="59">
    <w:name w:val="标准文件_标准部门"/>
    <w:basedOn w:val="1"/>
    <w:qFormat/>
    <w:uiPriority w:val="0"/>
    <w:pPr>
      <w:jc w:val="center"/>
    </w:pPr>
    <w:rPr>
      <w:rFonts w:ascii="黑体" w:eastAsia="黑体"/>
      <w:kern w:val="0"/>
      <w:sz w:val="44"/>
    </w:rPr>
  </w:style>
  <w:style w:type="paragraph" w:customStyle="1" w:styleId="60">
    <w:name w:val="标准文件_标准代替"/>
    <w:basedOn w:val="1"/>
    <w:next w:val="1"/>
    <w:qFormat/>
    <w:uiPriority w:val="0"/>
    <w:pPr>
      <w:spacing w:line="310" w:lineRule="exact"/>
      <w:jc w:val="right"/>
    </w:pPr>
    <w:rPr>
      <w:rFonts w:ascii="宋体" w:hAnsi="宋体"/>
      <w:kern w:val="0"/>
    </w:rPr>
  </w:style>
  <w:style w:type="paragraph" w:customStyle="1" w:styleId="61">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2">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3">
    <w:name w:val="标准文件_页眉偶数页"/>
    <w:basedOn w:val="62"/>
    <w:next w:val="1"/>
    <w:qFormat/>
    <w:uiPriority w:val="0"/>
    <w:pPr>
      <w:jc w:val="left"/>
    </w:pPr>
  </w:style>
  <w:style w:type="paragraph" w:customStyle="1" w:styleId="64">
    <w:name w:val="标准文件_参考文献标题"/>
    <w:basedOn w:val="1"/>
    <w:next w:val="1"/>
    <w:qFormat/>
    <w:uiPriority w:val="0"/>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65">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6">
    <w:name w:val="标准文件_二级条标题"/>
    <w:next w:val="57"/>
    <w:qFormat/>
    <w:uiPriority w:val="0"/>
    <w:pPr>
      <w:widowControl w:val="0"/>
      <w:numPr>
        <w:ilvl w:val="3"/>
        <w:numId w:val="2"/>
      </w:numPr>
      <w:spacing w:beforeLines="50" w:afterLines="50"/>
      <w:ind w:left="0"/>
      <w:jc w:val="both"/>
      <w:outlineLvl w:val="2"/>
    </w:pPr>
    <w:rPr>
      <w:rFonts w:ascii="黑体" w:hAnsi="Times New Roman" w:eastAsia="黑体" w:cs="Times New Roman"/>
      <w:sz w:val="21"/>
      <w:lang w:val="en-US" w:eastAsia="zh-CN" w:bidi="ar-SA"/>
    </w:rPr>
  </w:style>
  <w:style w:type="character" w:customStyle="1" w:styleId="67">
    <w:name w:val="标准文件_发布"/>
    <w:qFormat/>
    <w:uiPriority w:val="0"/>
    <w:rPr>
      <w:rFonts w:ascii="黑体" w:eastAsia="黑体"/>
      <w:spacing w:val="0"/>
      <w:w w:val="100"/>
      <w:position w:val="3"/>
      <w:sz w:val="28"/>
    </w:rPr>
  </w:style>
  <w:style w:type="paragraph" w:customStyle="1" w:styleId="68">
    <w:name w:val="标准文件_方框数字列项"/>
    <w:basedOn w:val="57"/>
    <w:qFormat/>
    <w:uiPriority w:val="0"/>
    <w:pPr>
      <w:numPr>
        <w:ilvl w:val="0"/>
        <w:numId w:val="3"/>
      </w:numPr>
      <w:ind w:firstLine="0" w:firstLineChars="0"/>
    </w:pPr>
  </w:style>
  <w:style w:type="paragraph" w:customStyle="1" w:styleId="69">
    <w:name w:val="标准文件_封面标准编号"/>
    <w:basedOn w:val="1"/>
    <w:next w:val="60"/>
    <w:qFormat/>
    <w:uiPriority w:val="0"/>
    <w:pPr>
      <w:spacing w:line="310" w:lineRule="exact"/>
      <w:jc w:val="right"/>
    </w:pPr>
    <w:rPr>
      <w:rFonts w:ascii="黑体" w:eastAsia="黑体"/>
      <w:kern w:val="0"/>
      <w:sz w:val="28"/>
    </w:rPr>
  </w:style>
  <w:style w:type="paragraph" w:customStyle="1" w:styleId="70">
    <w:name w:val="标准文件_封面标准分类号"/>
    <w:basedOn w:val="1"/>
    <w:uiPriority w:val="0"/>
    <w:rPr>
      <w:rFonts w:ascii="黑体" w:eastAsia="黑体"/>
      <w:b/>
      <w:kern w:val="0"/>
      <w:sz w:val="28"/>
    </w:rPr>
  </w:style>
  <w:style w:type="paragraph" w:customStyle="1" w:styleId="71">
    <w:name w:val="标准文件_封面标准名称"/>
    <w:basedOn w:val="1"/>
    <w:qFormat/>
    <w:uiPriority w:val="0"/>
    <w:pPr>
      <w:spacing w:line="240" w:lineRule="auto"/>
      <w:jc w:val="center"/>
    </w:pPr>
    <w:rPr>
      <w:rFonts w:ascii="黑体" w:eastAsia="黑体"/>
      <w:kern w:val="0"/>
      <w:sz w:val="52"/>
    </w:rPr>
  </w:style>
  <w:style w:type="paragraph" w:customStyle="1" w:styleId="72">
    <w:name w:val="标准文件_封面标准英文名称"/>
    <w:basedOn w:val="1"/>
    <w:qFormat/>
    <w:uiPriority w:val="0"/>
    <w:pPr>
      <w:spacing w:line="240" w:lineRule="auto"/>
      <w:jc w:val="center"/>
    </w:pPr>
    <w:rPr>
      <w:rFonts w:ascii="黑体" w:eastAsia="黑体"/>
      <w:b/>
      <w:sz w:val="28"/>
    </w:rPr>
  </w:style>
  <w:style w:type="paragraph" w:customStyle="1" w:styleId="73">
    <w:name w:val="标准文件_封面发布日期"/>
    <w:basedOn w:val="1"/>
    <w:qFormat/>
    <w:uiPriority w:val="0"/>
    <w:pPr>
      <w:spacing w:line="310" w:lineRule="exact"/>
    </w:pPr>
    <w:rPr>
      <w:rFonts w:ascii="黑体" w:eastAsia="黑体"/>
      <w:kern w:val="0"/>
      <w:sz w:val="28"/>
    </w:rPr>
  </w:style>
  <w:style w:type="paragraph" w:customStyle="1" w:styleId="74">
    <w:name w:val="标准文件_封面密级"/>
    <w:basedOn w:val="1"/>
    <w:qFormat/>
    <w:uiPriority w:val="0"/>
    <w:rPr>
      <w:rFonts w:eastAsia="黑体"/>
      <w:sz w:val="32"/>
    </w:rPr>
  </w:style>
  <w:style w:type="paragraph" w:customStyle="1" w:styleId="75">
    <w:name w:val="标准文件_封面实施日期"/>
    <w:basedOn w:val="1"/>
    <w:qFormat/>
    <w:uiPriority w:val="0"/>
    <w:pPr>
      <w:spacing w:line="310" w:lineRule="exact"/>
      <w:jc w:val="right"/>
    </w:pPr>
    <w:rPr>
      <w:rFonts w:ascii="黑体" w:eastAsia="黑体"/>
      <w:sz w:val="28"/>
    </w:rPr>
  </w:style>
  <w:style w:type="paragraph" w:customStyle="1" w:styleId="76">
    <w:name w:val="标准文件_封面抬头"/>
    <w:basedOn w:val="57"/>
    <w:qFormat/>
    <w:uiPriority w:val="0"/>
    <w:pPr>
      <w:adjustRightInd w:val="0"/>
      <w:spacing w:line="800" w:lineRule="exact"/>
      <w:ind w:firstLine="0" w:firstLineChars="0"/>
      <w:jc w:val="distribute"/>
    </w:pPr>
    <w:rPr>
      <w:rFonts w:ascii="黑体" w:eastAsia="黑体"/>
      <w:b/>
      <w:sz w:val="64"/>
    </w:rPr>
  </w:style>
  <w:style w:type="paragraph" w:customStyle="1" w:styleId="77">
    <w:name w:val="标准文件_附录标识"/>
    <w:next w:val="57"/>
    <w:uiPriority w:val="0"/>
    <w:pPr>
      <w:numPr>
        <w:ilvl w:val="0"/>
        <w:numId w:val="4"/>
      </w:numPr>
      <w:shd w:val="clear" w:color="FFFFFF" w:fill="FFFFFF"/>
      <w:tabs>
        <w:tab w:val="left" w:pos="6406"/>
      </w:tabs>
      <w:spacing w:beforeLines="25" w:afterLines="50"/>
      <w:jc w:val="center"/>
      <w:outlineLvl w:val="0"/>
    </w:pPr>
    <w:rPr>
      <w:rFonts w:ascii="黑体" w:hAnsi="Times New Roman" w:eastAsia="黑体" w:cs="Times New Roman"/>
      <w:sz w:val="21"/>
      <w:lang w:val="en-US" w:eastAsia="zh-CN" w:bidi="ar-SA"/>
    </w:rPr>
  </w:style>
  <w:style w:type="paragraph" w:customStyle="1" w:styleId="78">
    <w:name w:val="标准文件_附录表标题"/>
    <w:next w:val="57"/>
    <w:qFormat/>
    <w:uiPriority w:val="0"/>
    <w:pPr>
      <w:numPr>
        <w:ilvl w:val="1"/>
        <w:numId w:val="5"/>
      </w:numPr>
      <w:adjustRightInd w:val="0"/>
      <w:snapToGrid w:val="0"/>
      <w:spacing w:beforeLines="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9">
    <w:name w:val="标准文件_附录一级条标题"/>
    <w:next w:val="57"/>
    <w:uiPriority w:val="0"/>
    <w:pPr>
      <w:widowControl w:val="0"/>
      <w:numPr>
        <w:ilvl w:val="1"/>
        <w:numId w:val="4"/>
      </w:numPr>
      <w:spacing w:beforeLines="50" w:afterLines="50"/>
      <w:jc w:val="both"/>
      <w:outlineLvl w:val="2"/>
    </w:pPr>
    <w:rPr>
      <w:rFonts w:ascii="黑体" w:hAnsi="Times New Roman" w:eastAsia="黑体" w:cs="Times New Roman"/>
      <w:kern w:val="21"/>
      <w:sz w:val="21"/>
      <w:lang w:val="en-US" w:eastAsia="zh-CN" w:bidi="ar-SA"/>
    </w:rPr>
  </w:style>
  <w:style w:type="paragraph" w:customStyle="1" w:styleId="80">
    <w:name w:val="标准文件_附录二级条标题"/>
    <w:basedOn w:val="79"/>
    <w:next w:val="57"/>
    <w:qFormat/>
    <w:uiPriority w:val="0"/>
    <w:pPr>
      <w:widowControl/>
      <w:numPr>
        <w:ilvl w:val="2"/>
      </w:numPr>
      <w:wordWrap w:val="0"/>
      <w:overflowPunct w:val="0"/>
      <w:autoSpaceDE w:val="0"/>
      <w:autoSpaceDN w:val="0"/>
      <w:textAlignment w:val="baseline"/>
      <w:outlineLvl w:val="3"/>
    </w:pPr>
  </w:style>
  <w:style w:type="paragraph" w:customStyle="1" w:styleId="81">
    <w:name w:val="标准文件_附录公式"/>
    <w:basedOn w:val="56"/>
    <w:next w:val="56"/>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2">
    <w:name w:val="标准文件_附录三级条标题"/>
    <w:next w:val="57"/>
    <w:uiPriority w:val="0"/>
    <w:pPr>
      <w:widowControl w:val="0"/>
      <w:numPr>
        <w:ilvl w:val="3"/>
        <w:numId w:val="4"/>
      </w:numPr>
      <w:spacing w:beforeLines="50" w:afterLines="50"/>
      <w:jc w:val="both"/>
      <w:outlineLvl w:val="4"/>
    </w:pPr>
    <w:rPr>
      <w:rFonts w:ascii="黑体" w:hAnsi="Times New Roman" w:eastAsia="黑体" w:cs="Times New Roman"/>
      <w:kern w:val="21"/>
      <w:sz w:val="21"/>
      <w:lang w:val="en-US" w:eastAsia="zh-CN" w:bidi="ar-SA"/>
    </w:rPr>
  </w:style>
  <w:style w:type="paragraph" w:customStyle="1" w:styleId="83">
    <w:name w:val="标准文件_附录四级条标题"/>
    <w:next w:val="57"/>
    <w:qFormat/>
    <w:uiPriority w:val="0"/>
    <w:pPr>
      <w:widowControl w:val="0"/>
      <w:numPr>
        <w:ilvl w:val="4"/>
        <w:numId w:val="4"/>
      </w:numPr>
      <w:spacing w:beforeLines="50" w:afterLines="50"/>
      <w:jc w:val="both"/>
      <w:outlineLvl w:val="5"/>
    </w:pPr>
    <w:rPr>
      <w:rFonts w:ascii="黑体" w:hAnsi="Times New Roman" w:eastAsia="黑体" w:cs="Times New Roman"/>
      <w:kern w:val="21"/>
      <w:sz w:val="21"/>
      <w:lang w:val="en-US" w:eastAsia="zh-CN" w:bidi="ar-SA"/>
    </w:rPr>
  </w:style>
  <w:style w:type="paragraph" w:customStyle="1" w:styleId="84">
    <w:name w:val="标准文件_附录图标题"/>
    <w:next w:val="57"/>
    <w:qFormat/>
    <w:uiPriority w:val="0"/>
    <w:pPr>
      <w:numPr>
        <w:ilvl w:val="1"/>
        <w:numId w:val="6"/>
      </w:numPr>
      <w:adjustRightInd w:val="0"/>
      <w:snapToGrid w:val="0"/>
      <w:spacing w:beforeLines="50" w:afterLines="50"/>
      <w:ind w:firstLine="420"/>
      <w:jc w:val="center"/>
    </w:pPr>
    <w:rPr>
      <w:rFonts w:ascii="黑体" w:hAnsi="Times New Roman" w:eastAsia="黑体" w:cs="Times New Roman"/>
      <w:sz w:val="21"/>
      <w:lang w:val="en-US" w:eastAsia="zh-CN" w:bidi="ar-SA"/>
    </w:rPr>
  </w:style>
  <w:style w:type="paragraph" w:customStyle="1" w:styleId="85">
    <w:name w:val="标准文件_附录五级条标题"/>
    <w:next w:val="57"/>
    <w:qFormat/>
    <w:uiPriority w:val="0"/>
    <w:pPr>
      <w:widowControl w:val="0"/>
      <w:numPr>
        <w:ilvl w:val="5"/>
        <w:numId w:val="4"/>
      </w:numPr>
      <w:spacing w:beforeLines="50" w:afterLines="50"/>
      <w:jc w:val="both"/>
      <w:outlineLvl w:val="6"/>
    </w:pPr>
    <w:rPr>
      <w:rFonts w:ascii="黑体" w:hAnsi="Times New Roman" w:eastAsia="黑体" w:cs="Times New Roman"/>
      <w:kern w:val="21"/>
      <w:sz w:val="21"/>
      <w:lang w:val="en-US" w:eastAsia="zh-CN" w:bidi="ar-SA"/>
    </w:rPr>
  </w:style>
  <w:style w:type="paragraph" w:customStyle="1" w:styleId="86">
    <w:name w:val="标准文件_附录英文标识"/>
    <w:next w:val="14"/>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7">
    <w:name w:val="正文文本 Char"/>
    <w:link w:val="14"/>
    <w:uiPriority w:val="0"/>
    <w:rPr>
      <w:rFonts w:ascii="Times New Roman" w:hAnsi="Times New Roman" w:eastAsia="宋体" w:cs="Times New Roman"/>
      <w:szCs w:val="20"/>
    </w:rPr>
  </w:style>
  <w:style w:type="paragraph" w:customStyle="1" w:styleId="88">
    <w:name w:val="标准文件_附录章标题"/>
    <w:next w:val="57"/>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9">
    <w:name w:val="标准文件_公式后的破折号"/>
    <w:basedOn w:val="57"/>
    <w:next w:val="57"/>
    <w:uiPriority w:val="0"/>
    <w:pPr>
      <w:ind w:left="488" w:leftChars="200" w:hanging="289" w:hangingChars="290"/>
    </w:pPr>
  </w:style>
  <w:style w:type="paragraph" w:customStyle="1" w:styleId="90">
    <w:name w:val="标准文件_前言、引言标题"/>
    <w:next w:val="1"/>
    <w:uiPriority w:val="0"/>
    <w:pPr>
      <w:numPr>
        <w:ilvl w:val="0"/>
        <w:numId w:val="8"/>
      </w:numPr>
      <w:shd w:val="clear" w:color="FFFFFF" w:fill="FFFFFF"/>
      <w:spacing w:afterLines="150"/>
      <w:ind w:left="0" w:firstLine="0"/>
      <w:jc w:val="center"/>
      <w:outlineLvl w:val="0"/>
    </w:pPr>
    <w:rPr>
      <w:rFonts w:ascii="黑体" w:hAnsi="Times New Roman" w:eastAsia="黑体" w:cs="Times New Roman"/>
      <w:sz w:val="32"/>
      <w:lang w:val="en-US" w:eastAsia="zh-CN" w:bidi="ar-SA"/>
    </w:rPr>
  </w:style>
  <w:style w:type="paragraph" w:customStyle="1" w:styleId="91">
    <w:name w:val="标准文件_目次、标准名称标题"/>
    <w:basedOn w:val="90"/>
    <w:next w:val="57"/>
    <w:uiPriority w:val="0"/>
    <w:pPr>
      <w:spacing w:line="460" w:lineRule="exact"/>
    </w:pPr>
  </w:style>
  <w:style w:type="paragraph" w:customStyle="1" w:styleId="92">
    <w:name w:val="标准文件_目录标题"/>
    <w:basedOn w:val="1"/>
    <w:uiPriority w:val="0"/>
    <w:pPr>
      <w:spacing w:afterLines="150" w:line="240" w:lineRule="auto"/>
      <w:jc w:val="center"/>
    </w:pPr>
    <w:rPr>
      <w:rFonts w:ascii="黑体" w:eastAsia="黑体"/>
      <w:sz w:val="32"/>
    </w:rPr>
  </w:style>
  <w:style w:type="paragraph" w:customStyle="1" w:styleId="93">
    <w:name w:val="标准文件_破折号列项"/>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4">
    <w:name w:val="标准文件_破折号列项（二级）"/>
    <w:basedOn w:val="93"/>
    <w:uiPriority w:val="0"/>
    <w:pPr>
      <w:numPr>
        <w:numId w:val="10"/>
      </w:numPr>
      <w:ind w:left="0" w:firstLine="200"/>
    </w:pPr>
  </w:style>
  <w:style w:type="paragraph" w:customStyle="1" w:styleId="95">
    <w:name w:val="标准文件_三级条标题"/>
    <w:basedOn w:val="66"/>
    <w:next w:val="57"/>
    <w:uiPriority w:val="0"/>
    <w:pPr>
      <w:widowControl/>
      <w:numPr>
        <w:ilvl w:val="4"/>
      </w:numPr>
      <w:outlineLvl w:val="3"/>
    </w:pPr>
  </w:style>
  <w:style w:type="character" w:customStyle="1" w:styleId="96">
    <w:name w:val="不明显参考1"/>
    <w:qFormat/>
    <w:uiPriority w:val="31"/>
    <w:rPr>
      <w:smallCaps/>
      <w:color w:val="C0504D"/>
      <w:u w:val="single"/>
    </w:rPr>
  </w:style>
  <w:style w:type="paragraph" w:customStyle="1" w:styleId="97">
    <w:name w:val="标准文件_示例后续"/>
    <w:basedOn w:val="1"/>
    <w:uiPriority w:val="0"/>
    <w:pPr>
      <w:adjustRightInd/>
      <w:spacing w:line="240" w:lineRule="auto"/>
      <w:ind w:firstLine="200" w:firstLineChars="200"/>
    </w:pPr>
    <w:rPr>
      <w:sz w:val="18"/>
      <w:szCs w:val="24"/>
    </w:rPr>
  </w:style>
  <w:style w:type="paragraph" w:customStyle="1" w:styleId="98">
    <w:name w:val="标准文件_数字编号列项"/>
    <w:uiPriority w:val="0"/>
    <w:pPr>
      <w:numPr>
        <w:ilvl w:val="0"/>
        <w:numId w:val="11"/>
      </w:numPr>
      <w:jc w:val="both"/>
    </w:pPr>
    <w:rPr>
      <w:rFonts w:ascii="宋体" w:hAnsi="宋体" w:eastAsia="宋体" w:cs="Times New Roman"/>
      <w:sz w:val="21"/>
      <w:lang w:val="en-US" w:eastAsia="zh-CN" w:bidi="ar-SA"/>
    </w:rPr>
  </w:style>
  <w:style w:type="paragraph" w:customStyle="1" w:styleId="99">
    <w:name w:val="标准文件_四级条标题"/>
    <w:next w:val="57"/>
    <w:uiPriority w:val="0"/>
    <w:pPr>
      <w:widowControl w:val="0"/>
      <w:numPr>
        <w:ilvl w:val="5"/>
        <w:numId w:val="2"/>
      </w:numPr>
      <w:spacing w:beforeLines="50" w:afterLines="50"/>
      <w:jc w:val="both"/>
      <w:outlineLvl w:val="4"/>
    </w:pPr>
    <w:rPr>
      <w:rFonts w:ascii="黑体" w:hAnsi="Times New Roman" w:eastAsia="黑体" w:cs="Times New Roman"/>
      <w:sz w:val="21"/>
      <w:lang w:val="en-US" w:eastAsia="zh-CN" w:bidi="ar-SA"/>
    </w:rPr>
  </w:style>
  <w:style w:type="character" w:customStyle="1" w:styleId="100">
    <w:name w:val="脚注文本 Char"/>
    <w:link w:val="22"/>
    <w:semiHidden/>
    <w:uiPriority w:val="0"/>
    <w:rPr>
      <w:rFonts w:ascii="宋体" w:hAnsi="Times New Roman" w:eastAsia="宋体" w:cs="Times New Roman"/>
      <w:sz w:val="18"/>
      <w:szCs w:val="18"/>
    </w:rPr>
  </w:style>
  <w:style w:type="paragraph" w:customStyle="1" w:styleId="101">
    <w:name w:val="标准文件_条文脚注"/>
    <w:basedOn w:val="22"/>
    <w:uiPriority w:val="0"/>
    <w:pPr>
      <w:adjustRightInd w:val="0"/>
      <w:spacing w:line="240" w:lineRule="auto"/>
      <w:ind w:left="0" w:leftChars="0" w:firstLine="200" w:firstLineChars="200"/>
      <w:jc w:val="both"/>
    </w:pPr>
    <w:rPr>
      <w:rFonts w:hAnsi="宋体"/>
    </w:rPr>
  </w:style>
  <w:style w:type="paragraph" w:customStyle="1" w:styleId="102">
    <w:name w:val="标准文件_图表脚注"/>
    <w:basedOn w:val="1"/>
    <w:next w:val="57"/>
    <w:uiPriority w:val="0"/>
    <w:pPr>
      <w:numPr>
        <w:ilvl w:val="0"/>
        <w:numId w:val="12"/>
      </w:numPr>
      <w:spacing w:line="240" w:lineRule="auto"/>
      <w:jc w:val="left"/>
    </w:pPr>
    <w:rPr>
      <w:rFonts w:ascii="宋体" w:hAnsi="宋体"/>
      <w:sz w:val="18"/>
    </w:rPr>
  </w:style>
  <w:style w:type="character" w:customStyle="1" w:styleId="103">
    <w:name w:val="标准文件_图表脚注内容"/>
    <w:uiPriority w:val="0"/>
    <w:rPr>
      <w:rFonts w:ascii="宋体" w:hAnsi="宋体" w:eastAsia="宋体" w:cs="Times New Roman"/>
      <w:spacing w:val="0"/>
      <w:sz w:val="18"/>
      <w:vertAlign w:val="superscript"/>
    </w:rPr>
  </w:style>
  <w:style w:type="paragraph" w:customStyle="1" w:styleId="104">
    <w:name w:val="标准文件_五级条标题"/>
    <w:next w:val="57"/>
    <w:uiPriority w:val="0"/>
    <w:pPr>
      <w:widowControl w:val="0"/>
      <w:numPr>
        <w:ilvl w:val="6"/>
        <w:numId w:val="2"/>
      </w:numPr>
      <w:spacing w:beforeLines="50" w:afterLines="50"/>
      <w:jc w:val="both"/>
      <w:outlineLvl w:val="5"/>
    </w:pPr>
    <w:rPr>
      <w:rFonts w:ascii="黑体" w:hAnsi="Times New Roman" w:eastAsia="黑体" w:cs="Times New Roman"/>
      <w:sz w:val="21"/>
      <w:lang w:val="en-US" w:eastAsia="zh-CN" w:bidi="ar-SA"/>
    </w:rPr>
  </w:style>
  <w:style w:type="paragraph" w:customStyle="1" w:styleId="105">
    <w:name w:val="标准文件_章标题"/>
    <w:next w:val="57"/>
    <w:uiPriority w:val="0"/>
    <w:pPr>
      <w:numPr>
        <w:ilvl w:val="1"/>
        <w:numId w:val="2"/>
      </w:numPr>
      <w:spacing w:beforeLines="100" w:afterLines="100"/>
      <w:jc w:val="both"/>
      <w:outlineLvl w:val="0"/>
    </w:pPr>
    <w:rPr>
      <w:rFonts w:ascii="黑体" w:hAnsi="Times New Roman" w:eastAsia="黑体" w:cs="Times New Roman"/>
      <w:sz w:val="21"/>
      <w:lang w:val="en-US" w:eastAsia="zh-CN" w:bidi="ar-SA"/>
    </w:rPr>
  </w:style>
  <w:style w:type="paragraph" w:customStyle="1" w:styleId="106">
    <w:name w:val="标准文件_一级条标题"/>
    <w:basedOn w:val="105"/>
    <w:next w:val="57"/>
    <w:uiPriority w:val="0"/>
    <w:pPr>
      <w:numPr>
        <w:ilvl w:val="2"/>
      </w:numPr>
      <w:spacing w:beforeLines="50" w:afterLines="50"/>
      <w:outlineLvl w:val="1"/>
    </w:pPr>
  </w:style>
  <w:style w:type="paragraph" w:customStyle="1" w:styleId="107">
    <w:name w:val="标准文件_一致程度"/>
    <w:basedOn w:val="1"/>
    <w:uiPriority w:val="0"/>
    <w:pPr>
      <w:spacing w:line="440" w:lineRule="exact"/>
      <w:jc w:val="center"/>
    </w:pPr>
    <w:rPr>
      <w:sz w:val="28"/>
    </w:rPr>
  </w:style>
  <w:style w:type="paragraph" w:customStyle="1" w:styleId="108">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9">
    <w:name w:val="标准文件_英文图表脚注"/>
    <w:basedOn w:val="56"/>
    <w:uiPriority w:val="0"/>
    <w:pPr>
      <w:widowControl/>
      <w:adjustRightInd/>
      <w:snapToGrid/>
      <w:spacing w:line="240" w:lineRule="auto"/>
      <w:ind w:left="79" w:hanging="79" w:hangingChars="80"/>
    </w:pPr>
    <w:rPr>
      <w:rFonts w:ascii="宋体" w:hAnsi="宋体"/>
    </w:rPr>
  </w:style>
  <w:style w:type="paragraph" w:customStyle="1" w:styleId="110">
    <w:name w:val="标准文件_数字编号列项（二级）"/>
    <w:uiPriority w:val="0"/>
    <w:pPr>
      <w:numPr>
        <w:ilvl w:val="1"/>
        <w:numId w:val="13"/>
      </w:numPr>
      <w:jc w:val="both"/>
    </w:pPr>
    <w:rPr>
      <w:rFonts w:ascii="宋体" w:hAnsi="Times New Roman" w:eastAsia="宋体" w:cs="Times New Roman"/>
      <w:sz w:val="21"/>
      <w:lang w:val="en-US" w:eastAsia="zh-CN" w:bidi="ar-SA"/>
    </w:rPr>
  </w:style>
  <w:style w:type="paragraph" w:customStyle="1" w:styleId="111">
    <w:name w:val="标准文件_英文注："/>
    <w:basedOn w:val="1"/>
    <w:next w:val="57"/>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2">
    <w:name w:val="标准文件_英文注×："/>
    <w:basedOn w:val="1"/>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3">
    <w:name w:val="标准文件_正文表标题"/>
    <w:next w:val="57"/>
    <w:uiPriority w:val="0"/>
    <w:pPr>
      <w:numPr>
        <w:ilvl w:val="0"/>
        <w:numId w:val="16"/>
      </w:numPr>
      <w:tabs>
        <w:tab w:val="left" w:pos="0"/>
      </w:tabs>
      <w:spacing w:beforeLines="50" w:afterLines="50"/>
      <w:jc w:val="center"/>
    </w:pPr>
    <w:rPr>
      <w:rFonts w:ascii="黑体" w:hAnsi="Times New Roman" w:eastAsia="黑体" w:cs="Times New Roman"/>
      <w:sz w:val="21"/>
      <w:lang w:val="en-US" w:eastAsia="zh-CN" w:bidi="ar-SA"/>
    </w:rPr>
  </w:style>
  <w:style w:type="paragraph" w:customStyle="1" w:styleId="114">
    <w:name w:val="标准文件_正文公式"/>
    <w:basedOn w:val="1"/>
    <w:next w:val="56"/>
    <w:uiPriority w:val="0"/>
    <w:pPr>
      <w:tabs>
        <w:tab w:val="center" w:pos="4678"/>
        <w:tab w:val="right" w:leader="middleDot" w:pos="9356"/>
      </w:tabs>
      <w:spacing w:line="240" w:lineRule="auto"/>
    </w:pPr>
    <w:rPr>
      <w:rFonts w:ascii="宋体" w:hAnsi="宋体"/>
    </w:rPr>
  </w:style>
  <w:style w:type="paragraph" w:customStyle="1" w:styleId="115">
    <w:name w:val="标准文件_正文图标题"/>
    <w:next w:val="57"/>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16">
    <w:name w:val="标准文件_正文英文表标题"/>
    <w:next w:val="57"/>
    <w:uiPriority w:val="0"/>
    <w:pPr>
      <w:numPr>
        <w:ilvl w:val="0"/>
        <w:numId w:val="18"/>
      </w:numPr>
      <w:jc w:val="center"/>
    </w:pPr>
    <w:rPr>
      <w:rFonts w:ascii="黑体" w:hAnsi="Times New Roman" w:eastAsia="黑体" w:cs="Times New Roman"/>
      <w:sz w:val="21"/>
      <w:lang w:val="en-US" w:eastAsia="zh-CN" w:bidi="ar-SA"/>
    </w:rPr>
  </w:style>
  <w:style w:type="paragraph" w:customStyle="1" w:styleId="117">
    <w:name w:val="标准文件_正文英文图标题"/>
    <w:next w:val="57"/>
    <w:uiPriority w:val="0"/>
    <w:pPr>
      <w:numPr>
        <w:ilvl w:val="0"/>
        <w:numId w:val="19"/>
      </w:numPr>
      <w:jc w:val="center"/>
    </w:pPr>
    <w:rPr>
      <w:rFonts w:ascii="黑体" w:hAnsi="Times New Roman" w:eastAsia="黑体" w:cs="Times New Roman"/>
      <w:sz w:val="21"/>
      <w:lang w:val="en-US" w:eastAsia="zh-CN" w:bidi="ar-SA"/>
    </w:rPr>
  </w:style>
  <w:style w:type="paragraph" w:customStyle="1" w:styleId="118">
    <w:name w:val="标准文件_编号列项（三级）"/>
    <w:uiPriority w:val="0"/>
    <w:pPr>
      <w:numPr>
        <w:ilvl w:val="2"/>
        <w:numId w:val="13"/>
      </w:numPr>
    </w:pPr>
    <w:rPr>
      <w:rFonts w:ascii="宋体" w:hAnsi="Times New Roman" w:eastAsia="宋体" w:cs="Times New Roman"/>
      <w:sz w:val="21"/>
      <w:lang w:val="en-US" w:eastAsia="zh-CN" w:bidi="ar-SA"/>
    </w:rPr>
  </w:style>
  <w:style w:type="paragraph" w:customStyle="1" w:styleId="119">
    <w:name w:val="二级无标题条"/>
    <w:basedOn w:val="1"/>
    <w:uiPriority w:val="0"/>
    <w:pPr>
      <w:numPr>
        <w:ilvl w:val="3"/>
        <w:numId w:val="20"/>
      </w:numPr>
      <w:adjustRightInd/>
      <w:spacing w:line="240" w:lineRule="auto"/>
    </w:pPr>
    <w:rPr>
      <w:rFonts w:ascii="宋体" w:hAnsi="宋体"/>
      <w:szCs w:val="24"/>
    </w:rPr>
  </w:style>
  <w:style w:type="paragraph" w:customStyle="1" w:styleId="120">
    <w:name w:val="发布部门"/>
    <w:next w:val="57"/>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1">
    <w:name w:val="发布日期"/>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2">
    <w:name w:val="封面标准代替信息"/>
    <w:basedOn w:val="1"/>
    <w:uiPriority w:val="0"/>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3">
    <w:name w:val="封面标准名称"/>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4">
    <w:name w:val="封面标准文稿编辑信息"/>
    <w:uiPriority w:val="0"/>
    <w:pPr>
      <w:spacing w:before="180" w:line="180" w:lineRule="exact"/>
      <w:jc w:val="center"/>
    </w:pPr>
    <w:rPr>
      <w:rFonts w:ascii="宋体" w:hAnsi="Times New Roman" w:eastAsia="宋体" w:cs="Times New Roman"/>
      <w:sz w:val="21"/>
      <w:lang w:val="en-US" w:eastAsia="zh-CN" w:bidi="ar-SA"/>
    </w:rPr>
  </w:style>
  <w:style w:type="paragraph" w:customStyle="1" w:styleId="125">
    <w:name w:val="封面标准文稿类别"/>
    <w:uiPriority w:val="0"/>
    <w:pPr>
      <w:spacing w:before="440" w:line="400" w:lineRule="exact"/>
      <w:jc w:val="center"/>
    </w:pPr>
    <w:rPr>
      <w:rFonts w:ascii="宋体" w:hAnsi="Times New Roman" w:eastAsia="宋体" w:cs="Times New Roman"/>
      <w:sz w:val="24"/>
      <w:lang w:val="en-US" w:eastAsia="zh-CN" w:bidi="ar-SA"/>
    </w:rPr>
  </w:style>
  <w:style w:type="paragraph" w:customStyle="1" w:styleId="126">
    <w:name w:val="封面标准英文名称"/>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7">
    <w:name w:val="封面一致性程度标识"/>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8">
    <w:name w:val="封面正文"/>
    <w:uiPriority w:val="0"/>
    <w:pPr>
      <w:jc w:val="both"/>
    </w:pPr>
    <w:rPr>
      <w:rFonts w:ascii="Times New Roman" w:hAnsi="Times New Roman" w:eastAsia="宋体" w:cs="Times New Roman"/>
      <w:lang w:val="en-US" w:eastAsia="zh-CN" w:bidi="ar-SA"/>
    </w:rPr>
  </w:style>
  <w:style w:type="paragraph" w:customStyle="1" w:styleId="129">
    <w:name w:val="附录二级无标题条"/>
    <w:basedOn w:val="1"/>
    <w:next w:val="57"/>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0">
    <w:name w:val="附录三级无标题条"/>
    <w:basedOn w:val="129"/>
    <w:next w:val="57"/>
    <w:uiPriority w:val="0"/>
    <w:pPr>
      <w:outlineLvl w:val="4"/>
    </w:pPr>
  </w:style>
  <w:style w:type="paragraph" w:customStyle="1" w:styleId="131">
    <w:name w:val="附录四级无标题条"/>
    <w:basedOn w:val="130"/>
    <w:next w:val="57"/>
    <w:uiPriority w:val="0"/>
    <w:pPr>
      <w:outlineLvl w:val="5"/>
    </w:pPr>
  </w:style>
  <w:style w:type="paragraph" w:customStyle="1" w:styleId="132">
    <w:name w:val="附录图"/>
    <w:next w:val="57"/>
    <w:uiPriority w:val="0"/>
    <w:pPr>
      <w:wordWrap w:val="0"/>
      <w:overflowPunct w:val="0"/>
      <w:autoSpaceDE w:val="0"/>
      <w:spacing w:beforeLines="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3">
    <w:name w:val="标准文件_一级项"/>
    <w:uiPriority w:val="0"/>
    <w:pPr>
      <w:numPr>
        <w:ilvl w:val="0"/>
        <w:numId w:val="21"/>
      </w:numPr>
    </w:pPr>
    <w:rPr>
      <w:rFonts w:ascii="宋体" w:hAnsi="Times New Roman" w:eastAsia="宋体" w:cs="Times New Roman"/>
      <w:sz w:val="21"/>
      <w:lang w:val="en-US" w:eastAsia="zh-CN" w:bidi="ar-SA"/>
    </w:rPr>
  </w:style>
  <w:style w:type="paragraph" w:customStyle="1" w:styleId="134">
    <w:name w:val="附录五级无标题条"/>
    <w:basedOn w:val="131"/>
    <w:next w:val="57"/>
    <w:uiPriority w:val="0"/>
    <w:pPr>
      <w:outlineLvl w:val="6"/>
    </w:pPr>
  </w:style>
  <w:style w:type="paragraph" w:customStyle="1" w:styleId="135">
    <w:name w:val="附录性质"/>
    <w:basedOn w:val="1"/>
    <w:uiPriority w:val="0"/>
    <w:pPr>
      <w:widowControl/>
      <w:adjustRightInd/>
      <w:jc w:val="center"/>
    </w:pPr>
    <w:rPr>
      <w:rFonts w:ascii="黑体" w:eastAsia="黑体"/>
    </w:rPr>
  </w:style>
  <w:style w:type="paragraph" w:customStyle="1" w:styleId="136">
    <w:name w:val="附录一级无标题条"/>
    <w:basedOn w:val="88"/>
    <w:next w:val="57"/>
    <w:uiPriority w:val="0"/>
    <w:pPr>
      <w:autoSpaceDN w:val="0"/>
      <w:outlineLvl w:val="2"/>
    </w:pPr>
    <w:rPr>
      <w:rFonts w:ascii="宋体" w:hAnsi="宋体" w:eastAsia="宋体"/>
    </w:rPr>
  </w:style>
  <w:style w:type="character" w:customStyle="1" w:styleId="137">
    <w:name w:val="个人答复风格"/>
    <w:uiPriority w:val="0"/>
    <w:rPr>
      <w:rFonts w:ascii="Arial" w:hAnsi="Arial" w:eastAsia="宋体" w:cs="Arial"/>
      <w:color w:val="auto"/>
      <w:spacing w:val="0"/>
      <w:sz w:val="20"/>
    </w:rPr>
  </w:style>
  <w:style w:type="character" w:customStyle="1" w:styleId="138">
    <w:name w:val="个人撰写风格"/>
    <w:uiPriority w:val="0"/>
    <w:rPr>
      <w:rFonts w:ascii="Arial" w:hAnsi="Arial" w:eastAsia="宋体" w:cs="Arial"/>
      <w:color w:val="auto"/>
      <w:spacing w:val="0"/>
      <w:sz w:val="20"/>
    </w:rPr>
  </w:style>
  <w:style w:type="paragraph" w:customStyle="1" w:styleId="139">
    <w:name w:val="脚注后续"/>
    <w:uiPriority w:val="0"/>
    <w:pPr>
      <w:ind w:left="350" w:leftChars="350"/>
      <w:jc w:val="both"/>
    </w:pPr>
    <w:rPr>
      <w:rFonts w:ascii="宋体" w:hAnsi="Times New Roman" w:eastAsia="宋体" w:cs="Times New Roman"/>
      <w:sz w:val="18"/>
      <w:lang w:val="en-US" w:eastAsia="zh-CN" w:bidi="ar-SA"/>
    </w:rPr>
  </w:style>
  <w:style w:type="paragraph" w:customStyle="1" w:styleId="140">
    <w:name w:val="列项——"/>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1">
    <w:name w:val="列项·"/>
    <w:basedOn w:val="57"/>
    <w:uiPriority w:val="0"/>
    <w:pPr>
      <w:tabs>
        <w:tab w:val="left" w:pos="840"/>
      </w:tabs>
    </w:pPr>
  </w:style>
  <w:style w:type="paragraph" w:customStyle="1" w:styleId="142">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43">
    <w:name w:val="目录 21"/>
    <w:basedOn w:val="1"/>
    <w:next w:val="1"/>
    <w:semiHidden/>
    <w:uiPriority w:val="0"/>
    <w:pPr>
      <w:adjustRightInd/>
      <w:spacing w:line="240" w:lineRule="auto"/>
      <w:jc w:val="left"/>
    </w:pPr>
    <w:rPr>
      <w:bCs/>
      <w:iCs/>
    </w:rPr>
  </w:style>
  <w:style w:type="paragraph" w:customStyle="1" w:styleId="144">
    <w:name w:val="目录 31"/>
    <w:basedOn w:val="1"/>
    <w:next w:val="1"/>
    <w:semiHidden/>
    <w:uiPriority w:val="0"/>
    <w:pPr>
      <w:spacing w:line="240" w:lineRule="auto"/>
    </w:pPr>
    <w:rPr>
      <w:rFonts w:ascii="宋体" w:hAnsi="宋体"/>
      <w:iCs/>
    </w:rPr>
  </w:style>
  <w:style w:type="paragraph" w:customStyle="1" w:styleId="145">
    <w:name w:val="目录 41"/>
    <w:basedOn w:val="1"/>
    <w:next w:val="1"/>
    <w:semiHidden/>
    <w:uiPriority w:val="0"/>
    <w:pPr>
      <w:adjustRightInd/>
      <w:spacing w:line="240" w:lineRule="auto"/>
      <w:jc w:val="left"/>
    </w:pPr>
  </w:style>
  <w:style w:type="paragraph" w:customStyle="1" w:styleId="146">
    <w:name w:val="目录 51"/>
    <w:basedOn w:val="1"/>
    <w:next w:val="1"/>
    <w:semiHidden/>
    <w:uiPriority w:val="0"/>
    <w:pPr>
      <w:spacing w:line="240" w:lineRule="auto"/>
    </w:pPr>
    <w:rPr>
      <w:rFonts w:ascii="宋体" w:hAnsi="宋体"/>
    </w:rPr>
  </w:style>
  <w:style w:type="paragraph" w:customStyle="1" w:styleId="147">
    <w:name w:val="目录 61"/>
    <w:basedOn w:val="1"/>
    <w:next w:val="1"/>
    <w:semiHidden/>
    <w:uiPriority w:val="0"/>
    <w:pPr>
      <w:adjustRightInd/>
      <w:spacing w:line="240" w:lineRule="auto"/>
      <w:jc w:val="left"/>
    </w:pPr>
  </w:style>
  <w:style w:type="paragraph" w:customStyle="1" w:styleId="148">
    <w:name w:val="目录 71"/>
    <w:basedOn w:val="147"/>
    <w:semiHidden/>
    <w:uiPriority w:val="0"/>
    <w:pPr>
      <w:ind w:left="1260"/>
    </w:pPr>
  </w:style>
  <w:style w:type="paragraph" w:customStyle="1" w:styleId="149">
    <w:name w:val="目录 81"/>
    <w:basedOn w:val="148"/>
    <w:semiHidden/>
    <w:uiPriority w:val="0"/>
    <w:pPr>
      <w:ind w:left="1470"/>
    </w:pPr>
  </w:style>
  <w:style w:type="paragraph" w:customStyle="1" w:styleId="150">
    <w:name w:val="目录 91"/>
    <w:basedOn w:val="149"/>
    <w:semiHidden/>
    <w:uiPriority w:val="0"/>
    <w:pPr>
      <w:ind w:left="1680"/>
    </w:pPr>
  </w:style>
  <w:style w:type="paragraph" w:customStyle="1" w:styleId="151">
    <w:name w:val="其他标准称谓"/>
    <w:uiPriority w:val="0"/>
    <w:pPr>
      <w:spacing w:line="0" w:lineRule="atLeast"/>
      <w:jc w:val="distribute"/>
    </w:pPr>
    <w:rPr>
      <w:rFonts w:ascii="黑体" w:hAnsi="宋体" w:eastAsia="黑体" w:cs="Times New Roman"/>
      <w:sz w:val="52"/>
      <w:lang w:val="en-US" w:eastAsia="zh-CN" w:bidi="ar-SA"/>
    </w:rPr>
  </w:style>
  <w:style w:type="paragraph" w:customStyle="1" w:styleId="152">
    <w:name w:val="其他发布部门"/>
    <w:basedOn w:val="120"/>
    <w:uiPriority w:val="0"/>
    <w:pPr>
      <w:framePr/>
      <w:spacing w:line="0" w:lineRule="atLeast"/>
    </w:pPr>
    <w:rPr>
      <w:rFonts w:ascii="黑体" w:eastAsia="黑体"/>
      <w:b w:val="0"/>
    </w:rPr>
  </w:style>
  <w:style w:type="paragraph" w:customStyle="1" w:styleId="153">
    <w:name w:val="前言标题"/>
    <w:next w:val="1"/>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4">
    <w:name w:val="三级无标题条"/>
    <w:basedOn w:val="1"/>
    <w:uiPriority w:val="0"/>
    <w:pPr>
      <w:numPr>
        <w:ilvl w:val="4"/>
        <w:numId w:val="20"/>
      </w:numPr>
      <w:adjustRightInd/>
      <w:spacing w:line="240" w:lineRule="auto"/>
    </w:pPr>
    <w:rPr>
      <w:rFonts w:ascii="宋体" w:hAnsi="宋体"/>
      <w:szCs w:val="24"/>
    </w:rPr>
  </w:style>
  <w:style w:type="paragraph" w:customStyle="1" w:styleId="155">
    <w:name w:val="实施日期"/>
    <w:basedOn w:val="121"/>
    <w:uiPriority w:val="0"/>
    <w:pPr>
      <w:framePr w:hSpace="0" w:xAlign="right"/>
      <w:jc w:val="right"/>
    </w:pPr>
  </w:style>
  <w:style w:type="paragraph" w:customStyle="1" w:styleId="156">
    <w:name w:val="四级无标题条"/>
    <w:basedOn w:val="1"/>
    <w:uiPriority w:val="0"/>
    <w:pPr>
      <w:numPr>
        <w:ilvl w:val="5"/>
        <w:numId w:val="20"/>
      </w:numPr>
      <w:adjustRightInd/>
      <w:spacing w:line="240" w:lineRule="auto"/>
    </w:pPr>
    <w:rPr>
      <w:rFonts w:ascii="宋体" w:hAnsi="宋体"/>
      <w:szCs w:val="24"/>
    </w:rPr>
  </w:style>
  <w:style w:type="paragraph" w:customStyle="1" w:styleId="157">
    <w:name w:val="文献分类号"/>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8">
    <w:name w:val="无标题条"/>
    <w:next w:val="57"/>
    <w:uiPriority w:val="0"/>
    <w:pPr>
      <w:jc w:val="both"/>
    </w:pPr>
    <w:rPr>
      <w:rFonts w:ascii="宋体" w:hAnsi="宋体" w:eastAsia="宋体" w:cs="Times New Roman"/>
      <w:sz w:val="21"/>
      <w:lang w:val="en-US" w:eastAsia="zh-CN" w:bidi="ar-SA"/>
    </w:rPr>
  </w:style>
  <w:style w:type="paragraph" w:customStyle="1" w:styleId="159">
    <w:name w:val="五级无标题条"/>
    <w:basedOn w:val="1"/>
    <w:uiPriority w:val="0"/>
    <w:pPr>
      <w:numPr>
        <w:ilvl w:val="6"/>
        <w:numId w:val="20"/>
      </w:numPr>
      <w:adjustRightInd/>
    </w:pPr>
    <w:rPr>
      <w:szCs w:val="24"/>
    </w:rPr>
  </w:style>
  <w:style w:type="paragraph" w:customStyle="1" w:styleId="160">
    <w:name w:val="一级无标题条"/>
    <w:basedOn w:val="1"/>
    <w:uiPriority w:val="0"/>
    <w:pPr>
      <w:numPr>
        <w:ilvl w:val="2"/>
        <w:numId w:val="20"/>
      </w:numPr>
      <w:adjustRightInd/>
      <w:spacing w:before="10" w:after="10" w:line="240" w:lineRule="auto"/>
    </w:pPr>
    <w:rPr>
      <w:rFonts w:ascii="宋体" w:hAnsi="宋体"/>
      <w:szCs w:val="24"/>
    </w:rPr>
  </w:style>
  <w:style w:type="paragraph" w:customStyle="1" w:styleId="161">
    <w:name w:val="注:后续"/>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2">
    <w:name w:val="注×:后续"/>
    <w:basedOn w:val="161"/>
    <w:uiPriority w:val="0"/>
    <w:pPr>
      <w:ind w:left="1406" w:leftChars="0" w:hanging="499" w:firstLineChars="0"/>
    </w:pPr>
  </w:style>
  <w:style w:type="paragraph" w:customStyle="1" w:styleId="163">
    <w:name w:val="标准文件_一级无标题"/>
    <w:basedOn w:val="106"/>
    <w:qFormat/>
    <w:uiPriority w:val="0"/>
    <w:pPr>
      <w:spacing w:beforeLines="0" w:afterLines="0"/>
      <w:outlineLvl w:val="9"/>
    </w:pPr>
    <w:rPr>
      <w:rFonts w:ascii="宋体" w:eastAsia="宋体"/>
    </w:rPr>
  </w:style>
  <w:style w:type="paragraph" w:customStyle="1" w:styleId="164">
    <w:name w:val="标准文件_五级无标题"/>
    <w:basedOn w:val="104"/>
    <w:qFormat/>
    <w:uiPriority w:val="0"/>
    <w:pPr>
      <w:spacing w:beforeLines="0" w:afterLines="0"/>
      <w:outlineLvl w:val="9"/>
    </w:pPr>
    <w:rPr>
      <w:rFonts w:ascii="宋体" w:eastAsia="宋体"/>
    </w:rPr>
  </w:style>
  <w:style w:type="paragraph" w:customStyle="1" w:styleId="165">
    <w:name w:val="标准文件_三级无标题"/>
    <w:basedOn w:val="95"/>
    <w:qFormat/>
    <w:uiPriority w:val="0"/>
    <w:pPr>
      <w:spacing w:beforeLines="0" w:afterLines="0"/>
      <w:outlineLvl w:val="9"/>
    </w:pPr>
    <w:rPr>
      <w:rFonts w:ascii="宋体" w:eastAsia="宋体"/>
    </w:rPr>
  </w:style>
  <w:style w:type="paragraph" w:customStyle="1" w:styleId="166">
    <w:name w:val="标准文件_二级无标题"/>
    <w:basedOn w:val="66"/>
    <w:qFormat/>
    <w:uiPriority w:val="0"/>
    <w:pPr>
      <w:spacing w:beforeLines="0" w:afterLines="0"/>
      <w:ind w:left="142"/>
      <w:outlineLvl w:val="9"/>
    </w:pPr>
    <w:rPr>
      <w:rFonts w:ascii="宋体" w:eastAsia="宋体"/>
    </w:rPr>
  </w:style>
  <w:style w:type="paragraph" w:customStyle="1" w:styleId="167">
    <w:name w:val="标准_四级无标题"/>
    <w:basedOn w:val="99"/>
    <w:next w:val="57"/>
    <w:qFormat/>
    <w:uiPriority w:val="0"/>
    <w:rPr>
      <w:rFonts w:eastAsia="宋体"/>
    </w:rPr>
  </w:style>
  <w:style w:type="paragraph" w:customStyle="1" w:styleId="168">
    <w:name w:val="标准文件_四级无标题"/>
    <w:basedOn w:val="99"/>
    <w:qFormat/>
    <w:uiPriority w:val="0"/>
    <w:pPr>
      <w:spacing w:beforeLines="0" w:afterLines="0"/>
      <w:outlineLvl w:val="9"/>
    </w:pPr>
    <w:rPr>
      <w:rFonts w:ascii="宋体" w:hAnsi="黑体" w:eastAsia="宋体"/>
      <w:szCs w:val="52"/>
    </w:rPr>
  </w:style>
  <w:style w:type="paragraph" w:customStyle="1" w:styleId="169">
    <w:name w:val="标准文件_大写罗马数字编号列项"/>
    <w:basedOn w:val="57"/>
    <w:uiPriority w:val="0"/>
    <w:pPr>
      <w:numPr>
        <w:ilvl w:val="0"/>
        <w:numId w:val="23"/>
      </w:numPr>
      <w:ind w:firstLine="0" w:firstLineChars="0"/>
    </w:pPr>
    <w:rPr>
      <w:rFonts w:ascii="Times New Roman" w:cs="Arial"/>
      <w:szCs w:val="28"/>
    </w:rPr>
  </w:style>
  <w:style w:type="paragraph" w:customStyle="1" w:styleId="170">
    <w:name w:val="标准文件_小写罗马数字编号列项"/>
    <w:basedOn w:val="57"/>
    <w:uiPriority w:val="0"/>
    <w:pPr>
      <w:numPr>
        <w:ilvl w:val="0"/>
        <w:numId w:val="24"/>
      </w:numPr>
      <w:ind w:firstLine="0" w:firstLineChars="0"/>
    </w:pPr>
    <w:rPr>
      <w:rFonts w:cs="Arial"/>
      <w:szCs w:val="28"/>
    </w:rPr>
  </w:style>
  <w:style w:type="paragraph" w:customStyle="1" w:styleId="171">
    <w:name w:val="标准文件_附录标题"/>
    <w:basedOn w:val="77"/>
    <w:qFormat/>
    <w:uiPriority w:val="0"/>
    <w:pPr>
      <w:numPr>
        <w:numId w:val="0"/>
      </w:numPr>
      <w:spacing w:after="280"/>
      <w:outlineLvl w:val="9"/>
    </w:pPr>
  </w:style>
  <w:style w:type="paragraph" w:customStyle="1" w:styleId="172">
    <w:name w:val="标准文件_二级项"/>
    <w:uiPriority w:val="0"/>
    <w:rPr>
      <w:rFonts w:ascii="宋体" w:hAnsi="Times New Roman" w:eastAsia="宋体" w:cs="Times New Roman"/>
      <w:sz w:val="21"/>
      <w:lang w:val="en-US" w:eastAsia="zh-CN" w:bidi="ar-SA"/>
    </w:rPr>
  </w:style>
  <w:style w:type="paragraph" w:customStyle="1" w:styleId="173">
    <w:name w:val="标准文件_三级项"/>
    <w:basedOn w:val="1"/>
    <w:uiPriority w:val="0"/>
    <w:pPr>
      <w:numPr>
        <w:ilvl w:val="2"/>
        <w:numId w:val="21"/>
      </w:numPr>
      <w:spacing w:line="536870612" w:lineRule="auto"/>
    </w:pPr>
    <w:rPr>
      <w:rFonts w:ascii="Times New Roman" w:hAnsi="Times New Roman"/>
    </w:rPr>
  </w:style>
  <w:style w:type="paragraph" w:customStyle="1" w:styleId="174">
    <w:name w:val="图表脚注说明"/>
    <w:basedOn w:val="1"/>
    <w:next w:val="57"/>
    <w:uiPriority w:val="0"/>
    <w:pPr>
      <w:numPr>
        <w:ilvl w:val="0"/>
        <w:numId w:val="25"/>
      </w:numPr>
      <w:adjustRightInd/>
      <w:spacing w:line="240" w:lineRule="auto"/>
      <w:ind w:left="783"/>
    </w:pPr>
    <w:rPr>
      <w:rFonts w:ascii="宋体" w:hAnsi="Times New Roman"/>
      <w:sz w:val="18"/>
      <w:szCs w:val="18"/>
    </w:rPr>
  </w:style>
  <w:style w:type="paragraph" w:customStyle="1" w:styleId="175">
    <w:name w:val="标准文件_字母编号列项（一级）"/>
    <w:uiPriority w:val="0"/>
    <w:pPr>
      <w:numPr>
        <w:ilvl w:val="0"/>
        <w:numId w:val="13"/>
      </w:numPr>
      <w:jc w:val="both"/>
    </w:pPr>
    <w:rPr>
      <w:rFonts w:ascii="宋体" w:hAnsi="Times New Roman" w:eastAsia="宋体" w:cs="Times New Roman"/>
      <w:sz w:val="21"/>
      <w:lang w:val="en-US" w:eastAsia="zh-CN" w:bidi="ar-SA"/>
    </w:rPr>
  </w:style>
  <w:style w:type="paragraph" w:customStyle="1" w:styleId="176">
    <w:name w:val="标准文件_索引字母"/>
    <w:next w:val="57"/>
    <w:qFormat/>
    <w:uiPriority w:val="0"/>
    <w:pPr>
      <w:jc w:val="center"/>
    </w:pPr>
    <w:rPr>
      <w:rFonts w:ascii="宋体" w:hAnsi="宋体" w:eastAsia="Times New Roman" w:cs="Times New Roman"/>
      <w:b/>
      <w:kern w:val="2"/>
      <w:sz w:val="21"/>
      <w:lang w:val="en-US" w:eastAsia="zh-CN" w:bidi="ar-SA"/>
    </w:rPr>
  </w:style>
  <w:style w:type="paragraph" w:customStyle="1" w:styleId="177">
    <w:name w:val="标准文件_附录前"/>
    <w:next w:val="57"/>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8">
    <w:name w:val="标准文件_正文标准名称"/>
    <w:qFormat/>
    <w:uiPriority w:val="0"/>
    <w:pPr>
      <w:spacing w:beforeLines="20" w:after="640" w:line="400" w:lineRule="exact"/>
      <w:jc w:val="center"/>
    </w:pPr>
    <w:rPr>
      <w:rFonts w:ascii="黑体" w:hAnsi="黑体" w:eastAsia="黑体" w:cs="Times New Roman"/>
      <w:kern w:val="2"/>
      <w:sz w:val="32"/>
      <w:szCs w:val="32"/>
      <w:lang w:val="en-US" w:eastAsia="zh-CN" w:bidi="ar-SA"/>
    </w:rPr>
  </w:style>
  <w:style w:type="paragraph" w:customStyle="1" w:styleId="179">
    <w:name w:val="标准文件_表格"/>
    <w:basedOn w:val="57"/>
    <w:qFormat/>
    <w:uiPriority w:val="0"/>
    <w:pPr>
      <w:ind w:firstLine="0" w:firstLineChars="0"/>
      <w:jc w:val="center"/>
    </w:pPr>
    <w:rPr>
      <w:sz w:val="18"/>
    </w:rPr>
  </w:style>
  <w:style w:type="paragraph" w:customStyle="1" w:styleId="180">
    <w:name w:val="标准文件_注："/>
    <w:next w:val="57"/>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注×："/>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示例："/>
    <w:next w:val="183"/>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3">
    <w:name w:val="标准文件_示例内容"/>
    <w:basedOn w:val="57"/>
    <w:qFormat/>
    <w:uiPriority w:val="0"/>
    <w:pPr>
      <w:ind w:firstLine="420"/>
    </w:pPr>
    <w:rPr>
      <w:sz w:val="18"/>
    </w:rPr>
  </w:style>
  <w:style w:type="paragraph" w:customStyle="1" w:styleId="184">
    <w:name w:val="标准文件_示例×："/>
    <w:basedOn w:val="1"/>
    <w:next w:val="183"/>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5">
    <w:name w:val="标准文件_段 Char"/>
    <w:link w:val="57"/>
    <w:uiPriority w:val="0"/>
    <w:rPr>
      <w:rFonts w:ascii="宋体" w:hAnsi="Times New Roman"/>
      <w:sz w:val="21"/>
    </w:rPr>
  </w:style>
  <w:style w:type="paragraph" w:customStyle="1" w:styleId="186">
    <w:name w:val="标准文件_表格续"/>
    <w:basedOn w:val="57"/>
    <w:next w:val="57"/>
    <w:qFormat/>
    <w:uiPriority w:val="0"/>
    <w:pPr>
      <w:jc w:val="center"/>
    </w:pPr>
    <w:rPr>
      <w:rFonts w:ascii="黑体" w:hAnsi="黑体" w:eastAsia="黑体"/>
    </w:rPr>
  </w:style>
  <w:style w:type="character" w:styleId="187">
    <w:name w:val="Placeholder Text"/>
    <w:basedOn w:val="29"/>
    <w:semiHidden/>
    <w:uiPriority w:val="99"/>
    <w:rPr>
      <w:color w:val="808080"/>
    </w:rPr>
  </w:style>
  <w:style w:type="paragraph" w:customStyle="1" w:styleId="188">
    <w:name w:val="标准文件_二级项2"/>
    <w:basedOn w:val="57"/>
    <w:qFormat/>
    <w:uiPriority w:val="0"/>
    <w:pPr>
      <w:numPr>
        <w:ilvl w:val="1"/>
        <w:numId w:val="21"/>
      </w:numPr>
      <w:ind w:left="1271" w:hanging="420" w:firstLineChars="0"/>
    </w:pPr>
  </w:style>
  <w:style w:type="paragraph" w:customStyle="1" w:styleId="189">
    <w:name w:val="标准文件_三级项2"/>
    <w:basedOn w:val="57"/>
    <w:qFormat/>
    <w:uiPriority w:val="0"/>
    <w:pPr>
      <w:numPr>
        <w:ilvl w:val="0"/>
        <w:numId w:val="30"/>
      </w:numPr>
      <w:spacing w:line="300" w:lineRule="exact"/>
      <w:ind w:left="1276" w:hanging="425" w:firstLineChars="0"/>
    </w:pPr>
    <w:rPr>
      <w:rFonts w:ascii="Times New Roman"/>
    </w:rPr>
  </w:style>
  <w:style w:type="paragraph" w:customStyle="1" w:styleId="190">
    <w:name w:val="标准文件_一级项2"/>
    <w:basedOn w:val="57"/>
    <w:qFormat/>
    <w:uiPriority w:val="0"/>
    <w:pPr>
      <w:numPr>
        <w:ilvl w:val="0"/>
        <w:numId w:val="31"/>
      </w:numPr>
      <w:spacing w:line="300" w:lineRule="exact"/>
      <w:ind w:left="1271" w:hanging="420" w:firstLineChars="0"/>
    </w:pPr>
    <w:rPr>
      <w:rFonts w:ascii="Times New Roman"/>
    </w:rPr>
  </w:style>
  <w:style w:type="paragraph" w:customStyle="1" w:styleId="191">
    <w:name w:val="标准文件_提示"/>
    <w:basedOn w:val="57"/>
    <w:next w:val="57"/>
    <w:qFormat/>
    <w:uiPriority w:val="0"/>
    <w:pPr>
      <w:ind w:firstLine="420"/>
    </w:pPr>
    <w:rPr>
      <w:rFonts w:ascii="黑体" w:eastAsia="黑体"/>
    </w:rPr>
  </w:style>
  <w:style w:type="character" w:customStyle="1" w:styleId="192">
    <w:name w:val="标准文件_来源"/>
    <w:basedOn w:val="29"/>
    <w:qFormat/>
    <w:uiPriority w:val="1"/>
    <w:rPr>
      <w:rFonts w:eastAsia="宋体"/>
      <w:sz w:val="21"/>
    </w:rPr>
  </w:style>
  <w:style w:type="paragraph" w:customStyle="1" w:styleId="193">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4">
    <w:name w:val="其他发布日期"/>
    <w:basedOn w:val="121"/>
    <w:uiPriority w:val="0"/>
    <w:pPr>
      <w:framePr w:w="3997" w:h="471" w:hRule="exact" w:hSpace="0" w:vSpace="181" w:vAnchor="page" w:hAnchor="page" w:x="1419" w:y="14097"/>
    </w:pPr>
  </w:style>
  <w:style w:type="paragraph" w:customStyle="1" w:styleId="195">
    <w:name w:val="其他实施日期"/>
    <w:basedOn w:val="155"/>
    <w:uiPriority w:val="0"/>
    <w:pPr>
      <w:framePr w:w="3997" w:h="471" w:hRule="exact" w:vSpace="181" w:vAnchor="page" w:hAnchor="page" w:x="7089" w:y="14097"/>
    </w:pPr>
  </w:style>
  <w:style w:type="paragraph" w:customStyle="1" w:styleId="196">
    <w:name w:val="标准文件_文件编号"/>
    <w:basedOn w:val="57"/>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197">
    <w:name w:val="标准文件_替换文件编号"/>
    <w:basedOn w:val="196"/>
    <w:qFormat/>
    <w:uiPriority w:val="0"/>
    <w:pPr>
      <w:spacing w:before="57"/>
    </w:pPr>
    <w:rPr>
      <w:sz w:val="21"/>
    </w:rPr>
  </w:style>
  <w:style w:type="paragraph" w:customStyle="1" w:styleId="198">
    <w:name w:val="标准文件_文件名称"/>
    <w:basedOn w:val="57"/>
    <w:next w:val="57"/>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199">
    <w:name w:val="标准文件_附录图标号"/>
    <w:basedOn w:val="57"/>
    <w:next w:val="57"/>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0">
    <w:name w:val="标准文件_附录表标号"/>
    <w:basedOn w:val="57"/>
    <w:next w:val="57"/>
    <w:qFormat/>
    <w:uiPriority w:val="0"/>
    <w:pPr>
      <w:numPr>
        <w:ilvl w:val="0"/>
        <w:numId w:val="5"/>
      </w:numPr>
      <w:spacing w:line="14" w:lineRule="exact"/>
      <w:ind w:firstLine="0" w:firstLineChars="0"/>
      <w:jc w:val="center"/>
    </w:pPr>
    <w:rPr>
      <w:rFonts w:eastAsia="黑体"/>
      <w:vanish/>
      <w:sz w:val="2"/>
    </w:rPr>
  </w:style>
  <w:style w:type="paragraph" w:customStyle="1" w:styleId="201">
    <w:name w:val="标准文件_引言一级条标题"/>
    <w:basedOn w:val="57"/>
    <w:next w:val="57"/>
    <w:qFormat/>
    <w:uiPriority w:val="0"/>
    <w:pPr>
      <w:numPr>
        <w:ilvl w:val="1"/>
        <w:numId w:val="8"/>
      </w:numPr>
      <w:spacing w:beforeLines="50" w:afterLines="50"/>
      <w:ind w:firstLineChars="0"/>
    </w:pPr>
    <w:rPr>
      <w:rFonts w:ascii="黑体" w:eastAsia="黑体"/>
    </w:rPr>
  </w:style>
  <w:style w:type="paragraph" w:customStyle="1" w:styleId="202">
    <w:name w:val="标准文件_引言二级条标题"/>
    <w:basedOn w:val="57"/>
    <w:next w:val="57"/>
    <w:qFormat/>
    <w:uiPriority w:val="0"/>
    <w:pPr>
      <w:numPr>
        <w:ilvl w:val="2"/>
        <w:numId w:val="8"/>
      </w:numPr>
      <w:spacing w:beforeLines="50" w:afterLines="50"/>
      <w:ind w:firstLineChars="0"/>
    </w:pPr>
    <w:rPr>
      <w:rFonts w:ascii="黑体" w:eastAsia="黑体"/>
    </w:rPr>
  </w:style>
  <w:style w:type="paragraph" w:customStyle="1" w:styleId="203">
    <w:name w:val="标准文件_引言三级条标题"/>
    <w:basedOn w:val="57"/>
    <w:next w:val="57"/>
    <w:qFormat/>
    <w:uiPriority w:val="0"/>
    <w:pPr>
      <w:numPr>
        <w:ilvl w:val="3"/>
        <w:numId w:val="8"/>
      </w:numPr>
      <w:spacing w:beforeLines="50" w:afterLines="50"/>
      <w:ind w:firstLineChars="0"/>
    </w:pPr>
    <w:rPr>
      <w:rFonts w:ascii="黑体" w:eastAsia="黑体"/>
    </w:rPr>
  </w:style>
  <w:style w:type="paragraph" w:customStyle="1" w:styleId="204">
    <w:name w:val="标准文件_引言四级条标题"/>
    <w:basedOn w:val="57"/>
    <w:next w:val="57"/>
    <w:qFormat/>
    <w:uiPriority w:val="0"/>
    <w:pPr>
      <w:numPr>
        <w:ilvl w:val="4"/>
        <w:numId w:val="8"/>
      </w:numPr>
      <w:spacing w:beforeLines="50" w:afterLines="50"/>
      <w:ind w:firstLineChars="0"/>
    </w:pPr>
    <w:rPr>
      <w:rFonts w:ascii="黑体" w:eastAsia="黑体"/>
    </w:rPr>
  </w:style>
  <w:style w:type="paragraph" w:customStyle="1" w:styleId="205">
    <w:name w:val="标准文件_引言五级条标题"/>
    <w:basedOn w:val="57"/>
    <w:next w:val="57"/>
    <w:qFormat/>
    <w:uiPriority w:val="0"/>
    <w:pPr>
      <w:numPr>
        <w:ilvl w:val="5"/>
        <w:numId w:val="8"/>
      </w:numPr>
      <w:spacing w:beforeLines="50" w:afterLines="50"/>
      <w:ind w:firstLineChars="0"/>
    </w:pPr>
    <w:rPr>
      <w:rFonts w:ascii="黑体" w:eastAsia="黑体"/>
    </w:rPr>
  </w:style>
  <w:style w:type="paragraph" w:customStyle="1" w:styleId="206">
    <w:name w:val="标准文件_注后"/>
    <w:basedOn w:val="57"/>
    <w:qFormat/>
    <w:uiPriority w:val="0"/>
    <w:pPr>
      <w:ind w:left="811" w:firstLine="0" w:firstLineChars="0"/>
    </w:pPr>
    <w:rPr>
      <w:sz w:val="18"/>
    </w:rPr>
  </w:style>
  <w:style w:type="paragraph" w:customStyle="1" w:styleId="207">
    <w:name w:val="标准文件_注X后"/>
    <w:basedOn w:val="57"/>
    <w:qFormat/>
    <w:uiPriority w:val="0"/>
    <w:pPr>
      <w:ind w:left="811" w:firstLine="0" w:firstLineChars="0"/>
    </w:pPr>
    <w:rPr>
      <w:sz w:val="18"/>
    </w:rPr>
  </w:style>
  <w:style w:type="paragraph" w:customStyle="1" w:styleId="208">
    <w:name w:val="标准文件_示例后"/>
    <w:basedOn w:val="57"/>
    <w:qFormat/>
    <w:uiPriority w:val="0"/>
    <w:pPr>
      <w:ind w:left="964" w:firstLine="0" w:firstLineChars="0"/>
    </w:pPr>
    <w:rPr>
      <w:sz w:val="18"/>
    </w:rPr>
  </w:style>
  <w:style w:type="paragraph" w:customStyle="1" w:styleId="209">
    <w:name w:val="标准文件_示例X后"/>
    <w:basedOn w:val="57"/>
    <w:link w:val="210"/>
    <w:qFormat/>
    <w:uiPriority w:val="0"/>
    <w:pPr>
      <w:ind w:left="1049" w:firstLine="0" w:firstLineChars="0"/>
    </w:pPr>
    <w:rPr>
      <w:sz w:val="18"/>
    </w:rPr>
  </w:style>
  <w:style w:type="character" w:customStyle="1" w:styleId="210">
    <w:name w:val="标准文件_示例X后 字符"/>
    <w:basedOn w:val="185"/>
    <w:link w:val="209"/>
    <w:uiPriority w:val="0"/>
    <w:rPr>
      <w:rFonts w:ascii="宋体" w:hAnsi="Times New Roman"/>
      <w:sz w:val="18"/>
    </w:rPr>
  </w:style>
  <w:style w:type="paragraph" w:customStyle="1" w:styleId="211">
    <w:name w:val="标准文件_索引项"/>
    <w:basedOn w:val="57"/>
    <w:next w:val="57"/>
    <w:qFormat/>
    <w:uiPriority w:val="0"/>
    <w:pPr>
      <w:tabs>
        <w:tab w:val="right" w:leader="dot" w:pos="9356"/>
      </w:tabs>
      <w:ind w:left="210" w:hanging="210" w:firstLineChars="0"/>
      <w:jc w:val="left"/>
    </w:pPr>
  </w:style>
  <w:style w:type="paragraph" w:customStyle="1" w:styleId="212">
    <w:name w:val="标准文件_附录一级无标题"/>
    <w:basedOn w:val="79"/>
    <w:qFormat/>
    <w:uiPriority w:val="0"/>
    <w:pPr>
      <w:spacing w:beforeLines="0" w:afterLines="0" w:line="276" w:lineRule="auto"/>
      <w:outlineLvl w:val="9"/>
    </w:pPr>
    <w:rPr>
      <w:rFonts w:ascii="宋体" w:eastAsia="宋体"/>
    </w:rPr>
  </w:style>
  <w:style w:type="paragraph" w:customStyle="1" w:styleId="213">
    <w:name w:val="标准文件_附录二级无标题"/>
    <w:basedOn w:val="80"/>
    <w:uiPriority w:val="0"/>
    <w:pPr>
      <w:spacing w:beforeLines="0" w:afterLines="0" w:line="276" w:lineRule="auto"/>
      <w:outlineLvl w:val="9"/>
    </w:pPr>
    <w:rPr>
      <w:rFonts w:ascii="宋体" w:eastAsia="宋体"/>
    </w:rPr>
  </w:style>
  <w:style w:type="paragraph" w:customStyle="1" w:styleId="214">
    <w:name w:val="标准文件_附录三级无标题"/>
    <w:basedOn w:val="82"/>
    <w:qFormat/>
    <w:uiPriority w:val="0"/>
    <w:pPr>
      <w:spacing w:beforeLines="0" w:afterLines="0" w:line="276" w:lineRule="auto"/>
      <w:outlineLvl w:val="9"/>
    </w:pPr>
    <w:rPr>
      <w:rFonts w:ascii="宋体" w:eastAsia="宋体"/>
    </w:rPr>
  </w:style>
  <w:style w:type="paragraph" w:customStyle="1" w:styleId="215">
    <w:name w:val="标准文件_附录四级无标题"/>
    <w:basedOn w:val="83"/>
    <w:qFormat/>
    <w:uiPriority w:val="0"/>
    <w:pPr>
      <w:spacing w:beforeLines="0" w:afterLines="0" w:line="276" w:lineRule="auto"/>
      <w:outlineLvl w:val="9"/>
    </w:pPr>
    <w:rPr>
      <w:rFonts w:ascii="宋体" w:eastAsia="宋体"/>
    </w:rPr>
  </w:style>
  <w:style w:type="paragraph" w:customStyle="1" w:styleId="216">
    <w:name w:val="标准文件_附录五级无标题"/>
    <w:basedOn w:val="85"/>
    <w:qFormat/>
    <w:uiPriority w:val="0"/>
    <w:pPr>
      <w:spacing w:beforeLines="0" w:afterLines="0" w:line="276" w:lineRule="auto"/>
      <w:outlineLvl w:val="9"/>
    </w:pPr>
    <w:rPr>
      <w:rFonts w:ascii="宋体" w:eastAsia="宋体"/>
    </w:rPr>
  </w:style>
  <w:style w:type="paragraph" w:customStyle="1" w:styleId="217">
    <w:name w:val="标准文件_引言一级无标题"/>
    <w:basedOn w:val="201"/>
    <w:next w:val="57"/>
    <w:qFormat/>
    <w:uiPriority w:val="0"/>
    <w:pPr>
      <w:spacing w:beforeLines="0" w:afterLines="0" w:line="276" w:lineRule="auto"/>
    </w:pPr>
    <w:rPr>
      <w:rFonts w:ascii="宋体" w:eastAsia="宋体"/>
    </w:rPr>
  </w:style>
  <w:style w:type="paragraph" w:customStyle="1" w:styleId="218">
    <w:name w:val="标准文件_引言二级无标题"/>
    <w:basedOn w:val="202"/>
    <w:next w:val="57"/>
    <w:qFormat/>
    <w:uiPriority w:val="0"/>
    <w:pPr>
      <w:spacing w:beforeLines="0" w:afterLines="0" w:line="276" w:lineRule="auto"/>
    </w:pPr>
    <w:rPr>
      <w:rFonts w:ascii="宋体" w:eastAsia="宋体"/>
    </w:rPr>
  </w:style>
  <w:style w:type="paragraph" w:customStyle="1" w:styleId="219">
    <w:name w:val="标准文件_引言三级无标题"/>
    <w:basedOn w:val="203"/>
    <w:next w:val="57"/>
    <w:qFormat/>
    <w:uiPriority w:val="0"/>
    <w:pPr>
      <w:spacing w:beforeLines="0" w:afterLines="0" w:line="276" w:lineRule="auto"/>
    </w:pPr>
    <w:rPr>
      <w:rFonts w:ascii="宋体" w:eastAsia="宋体"/>
    </w:rPr>
  </w:style>
  <w:style w:type="paragraph" w:customStyle="1" w:styleId="220">
    <w:name w:val="标准文件_引言四级无标题"/>
    <w:basedOn w:val="204"/>
    <w:next w:val="57"/>
    <w:qFormat/>
    <w:uiPriority w:val="0"/>
    <w:pPr>
      <w:spacing w:beforeLines="0" w:afterLines="0" w:line="276" w:lineRule="auto"/>
    </w:pPr>
    <w:rPr>
      <w:rFonts w:ascii="宋体" w:eastAsia="宋体"/>
    </w:rPr>
  </w:style>
  <w:style w:type="paragraph" w:customStyle="1" w:styleId="221">
    <w:name w:val="标准文件_引言五级无标题"/>
    <w:basedOn w:val="205"/>
    <w:next w:val="57"/>
    <w:qFormat/>
    <w:uiPriority w:val="0"/>
    <w:pPr>
      <w:spacing w:beforeLines="0" w:afterLines="0" w:line="276" w:lineRule="auto"/>
    </w:pPr>
    <w:rPr>
      <w:rFonts w:ascii="宋体" w:eastAsia="宋体"/>
    </w:rPr>
  </w:style>
  <w:style w:type="paragraph" w:customStyle="1" w:styleId="222">
    <w:name w:val="标准文件_索引标题"/>
    <w:basedOn w:val="64"/>
    <w:next w:val="57"/>
    <w:qFormat/>
    <w:uiPriority w:val="0"/>
    <w:rPr>
      <w:rFonts w:hAnsi="黑体"/>
    </w:rPr>
  </w:style>
  <w:style w:type="paragraph" w:customStyle="1" w:styleId="223">
    <w:name w:val="标准文件_脚注内容"/>
    <w:basedOn w:val="57"/>
    <w:qFormat/>
    <w:uiPriority w:val="0"/>
    <w:pPr>
      <w:ind w:left="400" w:leftChars="200" w:hanging="200" w:hangingChars="200"/>
    </w:pPr>
    <w:rPr>
      <w:sz w:val="15"/>
    </w:rPr>
  </w:style>
  <w:style w:type="paragraph" w:customStyle="1" w:styleId="224">
    <w:name w:val="标准文件_术语条一"/>
    <w:basedOn w:val="163"/>
    <w:next w:val="57"/>
    <w:qFormat/>
    <w:uiPriority w:val="0"/>
  </w:style>
  <w:style w:type="paragraph" w:customStyle="1" w:styleId="225">
    <w:name w:val="标准文件_术语条二"/>
    <w:basedOn w:val="166"/>
    <w:next w:val="57"/>
    <w:qFormat/>
    <w:uiPriority w:val="0"/>
  </w:style>
  <w:style w:type="paragraph" w:customStyle="1" w:styleId="226">
    <w:name w:val="标准文件_术语条三"/>
    <w:basedOn w:val="165"/>
    <w:next w:val="57"/>
    <w:qFormat/>
    <w:uiPriority w:val="0"/>
  </w:style>
  <w:style w:type="paragraph" w:customStyle="1" w:styleId="227">
    <w:name w:val="标准文件_术语条四"/>
    <w:basedOn w:val="168"/>
    <w:next w:val="57"/>
    <w:qFormat/>
    <w:uiPriority w:val="0"/>
  </w:style>
  <w:style w:type="paragraph" w:customStyle="1" w:styleId="228">
    <w:name w:val="标准文件_术语条五"/>
    <w:basedOn w:val="164"/>
    <w:next w:val="57"/>
    <w:qFormat/>
    <w:uiPriority w:val="0"/>
  </w:style>
  <w:style w:type="paragraph" w:customStyle="1" w:styleId="22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0">
    <w:name w:val="发布"/>
    <w:basedOn w:val="29"/>
    <w:qFormat/>
    <w:uiPriority w:val="0"/>
    <w:rPr>
      <w:rFonts w:ascii="黑体" w:eastAsia="黑体"/>
      <w:spacing w:val="85"/>
      <w:w w:val="100"/>
      <w:position w:val="3"/>
      <w:sz w:val="28"/>
      <w:szCs w:val="28"/>
    </w:rPr>
  </w:style>
  <w:style w:type="character" w:customStyle="1" w:styleId="231">
    <w:name w:val="文档结构图 Char"/>
    <w:basedOn w:val="29"/>
    <w:link w:val="13"/>
    <w:semiHidden/>
    <w:qFormat/>
    <w:uiPriority w:val="99"/>
    <w:rPr>
      <w:rFonts w:ascii="宋体"/>
      <w:kern w:val="2"/>
      <w:sz w:val="18"/>
      <w:szCs w:val="18"/>
    </w:rPr>
  </w:style>
  <w:style w:type="paragraph" w:customStyle="1" w:styleId="232">
    <w:name w:val="段"/>
    <w:link w:val="233"/>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33">
    <w:name w:val="段 Char"/>
    <w:basedOn w:val="29"/>
    <w:link w:val="232"/>
    <w:qFormat/>
    <w:uiPriority w:val="0"/>
    <w:rPr>
      <w:rFonts w:ascii="宋体" w:hAnsi="Times New Roman"/>
      <w:sz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glossaryDocument" Target="glossary/document.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3.jpeg"/><Relationship Id="rId22" Type="http://schemas.openxmlformats.org/officeDocument/2006/relationships/image" Target="media/image2.emf"/><Relationship Id="rId21" Type="http://schemas.openxmlformats.org/officeDocument/2006/relationships/oleObject" Target="embeddings/oleObject2.bin"/><Relationship Id="rId20" Type="http://schemas.openxmlformats.org/officeDocument/2006/relationships/image" Target="media/image1.emf"/><Relationship Id="rId2" Type="http://schemas.openxmlformats.org/officeDocument/2006/relationships/settings" Target="settings.xml"/><Relationship Id="rId19" Type="http://schemas.openxmlformats.org/officeDocument/2006/relationships/oleObject" Target="embeddings/oleObject1.bin"/><Relationship Id="rId18" Type="http://schemas.openxmlformats.org/officeDocument/2006/relationships/image" Target="media/image1.tiff"/><Relationship Id="rId17" Type="http://schemas.openxmlformats.org/officeDocument/2006/relationships/theme" Target="theme/theme1.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1C70F7FDD584A5E8C6D72777642B469"/>
        <w:style w:val=""/>
        <w:category>
          <w:name w:val="常规"/>
          <w:gallery w:val="placeholder"/>
        </w:category>
        <w:types>
          <w:type w:val="bbPlcHdr"/>
        </w:types>
        <w:behaviors>
          <w:behavior w:val="content"/>
        </w:behaviors>
        <w:description w:val=""/>
        <w:guid w:val="{2BCDE106-C198-4D78-A1C5-2725E374662F}"/>
      </w:docPartPr>
      <w:docPartBody>
        <w:p>
          <w:pPr>
            <w:pStyle w:val="5"/>
          </w:pPr>
          <w:r>
            <w:rPr>
              <w:rStyle w:val="4"/>
              <w:rFonts w:hint="eastAsia"/>
            </w:rPr>
            <w:t>单击或点击此处输入文字。</w:t>
          </w:r>
        </w:p>
      </w:docPartBody>
    </w:docPart>
    <w:docPart>
      <w:docPartPr>
        <w:name w:val="47A316D958934991AE887646B38DFB11"/>
        <w:style w:val=""/>
        <w:category>
          <w:name w:val="常规"/>
          <w:gallery w:val="placeholder"/>
        </w:category>
        <w:types>
          <w:type w:val="bbPlcHdr"/>
        </w:types>
        <w:behaviors>
          <w:behavior w:val="content"/>
        </w:behaviors>
        <w:description w:val=""/>
        <w:guid w:val="{F2F625F3-4277-4F93-ADFB-C2433D9E3012}"/>
      </w:docPartPr>
      <w:docPartBody>
        <w:p>
          <w:pPr>
            <w:pStyle w:val="6"/>
          </w:pPr>
          <w:r>
            <w:rPr>
              <w:rStyle w:val="4"/>
              <w:rFonts w:hint="eastAsia"/>
            </w:rPr>
            <w:t>选择一项。</w:t>
          </w:r>
        </w:p>
      </w:docPartBody>
    </w:docPart>
    <w:docPart>
      <w:docPartPr>
        <w:name w:val="7B0DCE7465D64AA3841041A7D2BEFB63"/>
        <w:style w:val=""/>
        <w:category>
          <w:name w:val="常规"/>
          <w:gallery w:val="placeholder"/>
        </w:category>
        <w:types>
          <w:type w:val="bbPlcHdr"/>
        </w:types>
        <w:behaviors>
          <w:behavior w:val="content"/>
        </w:behaviors>
        <w:description w:val=""/>
        <w:guid w:val="{9E913867-7D34-4A34-A7CE-A23F04BCDAFA}"/>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DA5547"/>
    <w:rsid w:val="00047036"/>
    <w:rsid w:val="000C4A8B"/>
    <w:rsid w:val="000D5FC6"/>
    <w:rsid w:val="0012192F"/>
    <w:rsid w:val="00156848"/>
    <w:rsid w:val="001771C6"/>
    <w:rsid w:val="00185BFC"/>
    <w:rsid w:val="001B02E7"/>
    <w:rsid w:val="00257A00"/>
    <w:rsid w:val="002607B7"/>
    <w:rsid w:val="00263DF4"/>
    <w:rsid w:val="00305812"/>
    <w:rsid w:val="00345C38"/>
    <w:rsid w:val="003561CA"/>
    <w:rsid w:val="0036649D"/>
    <w:rsid w:val="00377E1E"/>
    <w:rsid w:val="003D65C6"/>
    <w:rsid w:val="004144DD"/>
    <w:rsid w:val="004241EB"/>
    <w:rsid w:val="004367FB"/>
    <w:rsid w:val="00480E8A"/>
    <w:rsid w:val="0049136F"/>
    <w:rsid w:val="004B084E"/>
    <w:rsid w:val="004C0612"/>
    <w:rsid w:val="004F6766"/>
    <w:rsid w:val="005B06C4"/>
    <w:rsid w:val="005E6812"/>
    <w:rsid w:val="006068A6"/>
    <w:rsid w:val="006C0B80"/>
    <w:rsid w:val="006E0AC2"/>
    <w:rsid w:val="006E1D27"/>
    <w:rsid w:val="00704401"/>
    <w:rsid w:val="007C2F8A"/>
    <w:rsid w:val="007D0F4E"/>
    <w:rsid w:val="0080008D"/>
    <w:rsid w:val="008B7A9C"/>
    <w:rsid w:val="008E0DA4"/>
    <w:rsid w:val="009515A5"/>
    <w:rsid w:val="0096040C"/>
    <w:rsid w:val="00962FD4"/>
    <w:rsid w:val="00A332DE"/>
    <w:rsid w:val="00A5528B"/>
    <w:rsid w:val="00A63530"/>
    <w:rsid w:val="00A7613F"/>
    <w:rsid w:val="00AD2A17"/>
    <w:rsid w:val="00B37213"/>
    <w:rsid w:val="00B85ABE"/>
    <w:rsid w:val="00C3514A"/>
    <w:rsid w:val="00C606B5"/>
    <w:rsid w:val="00CB69C8"/>
    <w:rsid w:val="00CE4D1A"/>
    <w:rsid w:val="00D25965"/>
    <w:rsid w:val="00D377CF"/>
    <w:rsid w:val="00D51A03"/>
    <w:rsid w:val="00D86155"/>
    <w:rsid w:val="00DA5547"/>
    <w:rsid w:val="00DB00B7"/>
    <w:rsid w:val="00EB2DE4"/>
    <w:rsid w:val="00F0043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91C70F7FDD584A5E8C6D72777642B46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47A316D958934991AE887646B38DFB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7B0DCE7465D64AA3841041A7D2BEFB6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BF18556D918B47DDB6D0B723D6450F9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0762A624F1C74945A8786E85490A239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D512E02A8CCC41668653F6496D48D20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13718BBEB16E4E3F876B63BCA6B97EC3"/>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5D7BE5-BCD5-4B48-A3A7-49B606DBCFAA}">
  <ds:schemaRefs/>
</ds:datastoreItem>
</file>

<file path=docProps/app.xml><?xml version="1.0" encoding="utf-8"?>
<Properties xmlns="http://schemas.openxmlformats.org/officeDocument/2006/extended-properties" xmlns:vt="http://schemas.openxmlformats.org/officeDocument/2006/docPropsVTypes">
  <Template>地方标准.dotx</Template>
  <Company>PCMI</Company>
  <Pages>15</Pages>
  <Words>1794</Words>
  <Characters>10228</Characters>
  <Lines>85</Lines>
  <Paragraphs>23</Paragraphs>
  <TotalTime>159</TotalTime>
  <ScaleCrop>false</ScaleCrop>
  <LinksUpToDate>false</LinksUpToDate>
  <CharactersWithSpaces>11999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2020-11-25T02:16:00Z</dcterms:created>
  <dc:creator>China</dc:creator>
  <dc:description>&lt;config cover="true" show_menu="true" version="1.0.0" doctype="SDKXY"&gt;_x000d_
&lt;/config&gt;</dc:description>
  <cp:lastModifiedBy>秋叶</cp:lastModifiedBy>
  <cp:lastPrinted>2021-05-06T08:57:00Z</cp:lastPrinted>
  <dcterms:modified xsi:type="dcterms:W3CDTF">2021-05-24T07:26:27Z</dcterms:modified>
  <dc:title>地方标准</dc:title>
  <cp:revision>769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false</vt:lpwstr>
  </property>
  <property fmtid="{D5CDD505-2E9C-101B-9397-08002B2CF9AE}" pid="15" name="KSOProductBuildVer">
    <vt:lpwstr>2052-11.1.0.10314</vt:lpwstr>
  </property>
  <property fmtid="{D5CDD505-2E9C-101B-9397-08002B2CF9AE}" pid="16" name="ICV">
    <vt:lpwstr>D3EE294A17404E5180F0847BF2AAC0B0</vt:lpwstr>
  </property>
</Properties>
</file>