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default" w:ascii="Times New Roman" w:hAnsi="Times New Roman" w:cs="Times New Roman"/>
          <w:b w:val="0"/>
          <w:bCs w:val="0"/>
        </w:rPr>
      </w:pPr>
    </w:p>
    <w:p>
      <w:pPr>
        <w:pStyle w:val="8"/>
        <w:keepNext w:val="0"/>
        <w:keepLines w:val="0"/>
        <w:pageBreakBefore w:val="0"/>
        <w:widowControl w:val="0"/>
        <w:kinsoku/>
        <w:wordWrap/>
        <w:overflowPunct/>
        <w:topLinePunct w:val="0"/>
        <w:autoSpaceDE/>
        <w:autoSpaceDN/>
        <w:bidi w:val="0"/>
        <w:adjustRightInd/>
        <w:snapToGrid/>
        <w:spacing w:after="0" w:line="680" w:lineRule="exact"/>
        <w:ind w:left="0" w:leftChars="0" w:firstLine="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eastAsia="zh-CN"/>
        </w:rPr>
        <w:t>四川省经营性公墓年度检查工作规范</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（征求意见稿）</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val="en-US" w:eastAsia="zh-CN"/>
        </w:rPr>
        <w:t>规范经营性公墓年度检查（以下简称年检）工作，加强对经营性公墓建设和经营行为的监督管理，保护土地资源，维护群众合法权益，推进我省公墓建设高质量发展，</w:t>
      </w:r>
      <w:r>
        <w:rPr>
          <w:rFonts w:hint="default" w:ascii="仿宋_GB2312" w:hAnsi="仿宋_GB2312" w:eastAsia="仿宋_GB2312" w:cs="仿宋_GB2312"/>
          <w:color w:val="auto"/>
          <w:sz w:val="32"/>
          <w:szCs w:val="32"/>
          <w:lang w:val="en-US" w:eastAsia="zh-CN"/>
        </w:rPr>
        <w:t>根据国务院《殡葬管理条例》《四川省殡葬管理条例》</w:t>
      </w:r>
      <w:r>
        <w:rPr>
          <w:rFonts w:hint="eastAsia" w:ascii="仿宋_GB2312" w:hAnsi="仿宋_GB2312" w:eastAsia="仿宋_GB2312" w:cs="仿宋_GB2312"/>
          <w:color w:val="auto"/>
          <w:sz w:val="32"/>
          <w:szCs w:val="32"/>
          <w:lang w:val="en-US" w:eastAsia="zh-CN"/>
        </w:rPr>
        <w:t>《四川省公墓管理条例》等有关法律规定，制定本规范</w:t>
      </w:r>
      <w:r>
        <w:rPr>
          <w:rFonts w:hint="default" w:ascii="仿宋_GB2312" w:hAnsi="仿宋_GB2312" w:eastAsia="仿宋_GB2312" w:cs="仿宋_GB2312"/>
          <w:color w:val="auto"/>
          <w:sz w:val="32"/>
          <w:szCs w:val="32"/>
          <w:lang w:val="en-US" w:eastAsia="zh-CN"/>
        </w:rPr>
        <w:t>。</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 xml:space="preserve">第二条  </w:t>
      </w:r>
      <w:r>
        <w:rPr>
          <w:rFonts w:hint="eastAsia" w:ascii="仿宋_GB2312" w:hAnsi="仿宋_GB2312" w:eastAsia="仿宋_GB2312" w:cs="仿宋_GB2312"/>
          <w:color w:val="auto"/>
          <w:sz w:val="32"/>
          <w:szCs w:val="32"/>
          <w:lang w:val="en-US" w:eastAsia="zh-CN"/>
        </w:rPr>
        <w:t>经营性公墓年检是指各级民政部门根据法律规定和有关要求，按年度对辖区内经营性公墓的建设、经营、管理等情况进行监督、检查和确定结论。</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第三条</w:t>
      </w:r>
      <w:r>
        <w:rPr>
          <w:rFonts w:hint="eastAsia" w:ascii="仿宋_GB2312" w:hAnsi="仿宋_GB2312" w:eastAsia="仿宋_GB2312" w:cs="仿宋_GB2312"/>
          <w:color w:val="auto"/>
          <w:kern w:val="2"/>
          <w:sz w:val="32"/>
          <w:szCs w:val="32"/>
          <w:lang w:val="en-US" w:eastAsia="zh-CN" w:bidi="ar-SA"/>
        </w:rPr>
        <w:t>　本规范适用于四川省行政区域内经合法审批建设的经营性公墓。经营性公墓自建成投入使用次年起接受年检。</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组织实施</w:t>
      </w:r>
    </w:p>
    <w:p>
      <w:pPr>
        <w:pStyle w:val="2"/>
        <w:keepNext w:val="0"/>
        <w:keepLines w:val="0"/>
        <w:pageBreakBefore w:val="0"/>
        <w:kinsoku/>
        <w:wordWrap/>
        <w:overflowPunct/>
        <w:topLinePunct w:val="0"/>
        <w:autoSpaceDE/>
        <w:autoSpaceDN/>
        <w:bidi w:val="0"/>
        <w:adjustRightInd/>
        <w:snapToGrid/>
        <w:spacing w:line="576" w:lineRule="exact"/>
        <w:jc w:val="left"/>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第四条</w:t>
      </w:r>
      <w:r>
        <w:rPr>
          <w:rFonts w:hint="eastAsia" w:ascii="仿宋_GB2312" w:hAnsi="仿宋_GB2312" w:eastAsia="仿宋_GB2312" w:cs="仿宋_GB2312"/>
          <w:color w:val="auto"/>
          <w:kern w:val="2"/>
          <w:sz w:val="32"/>
          <w:szCs w:val="32"/>
          <w:lang w:val="en-US" w:eastAsia="zh-CN" w:bidi="ar-SA"/>
        </w:rPr>
        <w:t xml:space="preserve">  省民政厅负责指导、监督四川省行政区域内经营性公墓的年检工作。</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 xml:space="preserve">第五条  </w:t>
      </w:r>
      <w:r>
        <w:rPr>
          <w:rFonts w:hint="eastAsia" w:ascii="仿宋_GB2312" w:hAnsi="仿宋_GB2312" w:eastAsia="仿宋_GB2312" w:cs="仿宋_GB2312"/>
          <w:color w:val="auto"/>
          <w:kern w:val="2"/>
          <w:sz w:val="32"/>
          <w:szCs w:val="32"/>
          <w:lang w:val="en-US" w:eastAsia="zh-CN" w:bidi="ar-SA"/>
        </w:rPr>
        <w:t>各市（州）民政局负责具体实施对本行政区域内经营性公墓的年检工作。</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各级民政部门对公墓开展年检工作，应当坚持依法依规、实事求是、公正公开的原则。</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楷体_GB2312" w:hAnsi="楷体_GB2312" w:eastAsia="楷体_GB2312" w:cs="楷体_GB2312"/>
          <w:b/>
          <w:bCs/>
          <w:color w:val="auto"/>
          <w:sz w:val="32"/>
          <w:szCs w:val="32"/>
          <w:lang w:val="en-US" w:eastAsia="zh-CN"/>
        </w:rPr>
      </w:pPr>
      <w:r>
        <w:rPr>
          <w:rFonts w:hint="eastAsia" w:ascii="黑体" w:hAnsi="黑体" w:eastAsia="黑体" w:cs="黑体"/>
          <w:b w:val="0"/>
          <w:bCs w:val="0"/>
          <w:color w:val="auto"/>
          <w:sz w:val="32"/>
          <w:szCs w:val="32"/>
          <w:lang w:val="en-US" w:eastAsia="zh-CN"/>
        </w:rPr>
        <w:t>第三章  年检内容</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 xml:space="preserve">第七条  </w:t>
      </w:r>
      <w:r>
        <w:rPr>
          <w:rFonts w:hint="eastAsia" w:ascii="仿宋_GB2312" w:hAnsi="仿宋_GB2312" w:eastAsia="仿宋_GB2312" w:cs="仿宋_GB2312"/>
          <w:color w:val="auto"/>
          <w:kern w:val="2"/>
          <w:sz w:val="32"/>
          <w:szCs w:val="32"/>
          <w:lang w:val="en-US" w:eastAsia="zh-CN" w:bidi="ar-SA"/>
        </w:rPr>
        <w:t>经营性公墓年检的内容至少应包括审批、建设、经营、服务、管理等五个方面。</w:t>
      </w:r>
    </w:p>
    <w:p>
      <w:pPr>
        <w:pStyle w:val="2"/>
        <w:keepNext w:val="0"/>
        <w:keepLines w:val="0"/>
        <w:pageBreakBefore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第八条</w:t>
      </w:r>
      <w:r>
        <w:rPr>
          <w:rFonts w:hint="eastAsia" w:ascii="仿宋_GB2312" w:hAnsi="仿宋_GB2312" w:eastAsia="仿宋_GB2312" w:cs="仿宋_GB2312"/>
          <w:color w:val="auto"/>
          <w:kern w:val="2"/>
          <w:sz w:val="32"/>
          <w:szCs w:val="32"/>
          <w:lang w:val="en-US" w:eastAsia="zh-CN" w:bidi="ar-SA"/>
        </w:rPr>
        <w:t xml:space="preserve">  审批方面主要检查：是否依法办理公墓建设审批手续；公墓建设是否符合国土空间规划；是否依法取得国有土地使用权证；有无</w:t>
      </w:r>
      <w:r>
        <w:rPr>
          <w:rFonts w:hint="default" w:ascii="仿宋_GB2312" w:hAnsi="仿宋_GB2312" w:eastAsia="仿宋_GB2312" w:cs="仿宋_GB2312"/>
          <w:color w:val="auto"/>
          <w:kern w:val="2"/>
          <w:sz w:val="32"/>
          <w:szCs w:val="32"/>
          <w:lang w:val="en-US" w:eastAsia="zh-CN" w:bidi="ar-SA"/>
        </w:rPr>
        <w:t>擅自变更行政许可内容</w:t>
      </w:r>
      <w:r>
        <w:rPr>
          <w:rFonts w:hint="eastAsia" w:ascii="仿宋_GB2312" w:hAnsi="仿宋_GB2312" w:eastAsia="仿宋_GB2312" w:cs="仿宋_GB2312"/>
          <w:color w:val="auto"/>
          <w:kern w:val="2"/>
          <w:sz w:val="32"/>
          <w:szCs w:val="32"/>
          <w:lang w:val="en-US" w:eastAsia="zh-CN" w:bidi="ar-SA"/>
        </w:rPr>
        <w:t>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第九条</w:t>
      </w:r>
      <w:r>
        <w:rPr>
          <w:rFonts w:hint="eastAsia" w:ascii="仿宋_GB2312" w:hAnsi="仿宋_GB2312" w:eastAsia="仿宋_GB2312" w:cs="仿宋_GB2312"/>
          <w:b/>
          <w:bCs/>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建设方面主要检查：是否严格按批复文件要求建设墓区；有无超出批准用地面积建设墓穴；是否修建超标准墓穴；是否按要求建设节地生态安葬墓区；墓区配套设施是否建设齐全；墓区环境是否整洁庄重等。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第十条</w:t>
      </w:r>
      <w:r>
        <w:rPr>
          <w:rFonts w:hint="eastAsia" w:ascii="仿宋_GB2312" w:hAnsi="仿宋_GB2312" w:eastAsia="仿宋_GB2312" w:cs="仿宋_GB2312"/>
          <w:b/>
          <w:bCs/>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经营方面主要检查：是否严格</w:t>
      </w:r>
      <w:r>
        <w:rPr>
          <w:rFonts w:hint="default" w:ascii="仿宋_GB2312" w:hAnsi="仿宋_GB2312" w:eastAsia="仿宋_GB2312" w:cs="仿宋_GB2312"/>
          <w:color w:val="auto"/>
          <w:kern w:val="2"/>
          <w:sz w:val="32"/>
          <w:szCs w:val="32"/>
          <w:lang w:val="en-US" w:eastAsia="zh-CN" w:bidi="ar-SA"/>
        </w:rPr>
        <w:t>按照价格管理部门核定的收费标准进行收费</w:t>
      </w:r>
      <w:r>
        <w:rPr>
          <w:rFonts w:hint="eastAsia" w:ascii="仿宋_GB2312" w:hAnsi="仿宋_GB2312" w:eastAsia="仿宋_GB2312" w:cs="仿宋_GB2312"/>
          <w:color w:val="auto"/>
          <w:kern w:val="2"/>
          <w:sz w:val="32"/>
          <w:szCs w:val="32"/>
          <w:lang w:val="en-US" w:eastAsia="zh-CN" w:bidi="ar-SA"/>
        </w:rPr>
        <w:t>；殡仪服务收费项目和收费标准是否向有关部门备案；是否全面实行收费公示和明码标价制度；是否签订规范合同，约定使用周期和管理费；是否</w:t>
      </w:r>
      <w:r>
        <w:rPr>
          <w:rFonts w:hint="default" w:ascii="仿宋_GB2312" w:hAnsi="仿宋_GB2312" w:eastAsia="仿宋_GB2312" w:cs="仿宋_GB2312"/>
          <w:color w:val="auto"/>
          <w:kern w:val="2"/>
          <w:sz w:val="32"/>
          <w:szCs w:val="32"/>
          <w:lang w:val="en-US" w:eastAsia="zh-CN" w:bidi="ar-SA"/>
        </w:rPr>
        <w:t>使用规范的骨灰安放证书</w:t>
      </w:r>
      <w:r>
        <w:rPr>
          <w:rFonts w:hint="eastAsia" w:ascii="仿宋_GB2312" w:hAnsi="仿宋_GB2312" w:eastAsia="仿宋_GB2312" w:cs="仿宋_GB2312"/>
          <w:color w:val="auto"/>
          <w:kern w:val="2"/>
          <w:sz w:val="32"/>
          <w:szCs w:val="32"/>
          <w:lang w:val="en-US" w:eastAsia="zh-CN" w:bidi="ar-SA"/>
        </w:rPr>
        <w:t>；有无预售墓（格）位行为；有无限制丧事自带合法丧葬用品；有无出售污染环境的祭祀用品等。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第十一条</w:t>
      </w:r>
      <w:r>
        <w:rPr>
          <w:rFonts w:hint="eastAsia" w:ascii="仿宋_GB2312" w:hAnsi="仿宋_GB2312" w:eastAsia="仿宋_GB2312" w:cs="仿宋_GB2312"/>
          <w:b/>
          <w:bCs/>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服务方面主要检查：是否按标准制定服务流程和服务规范；是否主动公开</w:t>
      </w:r>
      <w:r>
        <w:rPr>
          <w:rFonts w:hint="default" w:ascii="仿宋_GB2312" w:hAnsi="仿宋_GB2312" w:eastAsia="仿宋_GB2312" w:cs="仿宋_GB2312"/>
          <w:color w:val="auto"/>
          <w:kern w:val="2"/>
          <w:sz w:val="32"/>
          <w:szCs w:val="32"/>
          <w:lang w:val="en-US" w:eastAsia="zh-CN" w:bidi="ar-SA"/>
        </w:rPr>
        <w:t>服务</w:t>
      </w:r>
      <w:r>
        <w:rPr>
          <w:rFonts w:hint="eastAsia" w:ascii="仿宋_GB2312" w:hAnsi="仿宋_GB2312" w:eastAsia="仿宋_GB2312" w:cs="仿宋_GB2312"/>
          <w:color w:val="auto"/>
          <w:kern w:val="2"/>
          <w:sz w:val="32"/>
          <w:szCs w:val="32"/>
          <w:lang w:val="en-US" w:eastAsia="zh-CN" w:bidi="ar-SA"/>
        </w:rPr>
        <w:t>投诉和</w:t>
      </w:r>
      <w:r>
        <w:rPr>
          <w:rFonts w:hint="default" w:ascii="仿宋_GB2312" w:hAnsi="仿宋_GB2312" w:eastAsia="仿宋_GB2312" w:cs="仿宋_GB2312"/>
          <w:color w:val="auto"/>
          <w:kern w:val="2"/>
          <w:sz w:val="32"/>
          <w:szCs w:val="32"/>
          <w:lang w:val="en-US" w:eastAsia="zh-CN" w:bidi="ar-SA"/>
        </w:rPr>
        <w:t>监督电话；</w:t>
      </w:r>
      <w:r>
        <w:rPr>
          <w:rFonts w:hint="eastAsia" w:ascii="仿宋_GB2312" w:hAnsi="仿宋_GB2312" w:eastAsia="仿宋_GB2312" w:cs="仿宋_GB2312"/>
          <w:color w:val="auto"/>
          <w:kern w:val="2"/>
          <w:sz w:val="32"/>
          <w:szCs w:val="32"/>
          <w:lang w:val="en-US" w:eastAsia="zh-CN" w:bidi="ar-SA"/>
        </w:rPr>
        <w:t>是否积极开展惠民殡葬和节地生态安葬相关政策宣传；</w:t>
      </w:r>
      <w:r>
        <w:rPr>
          <w:rFonts w:hint="default" w:ascii="仿宋_GB2312" w:hAnsi="仿宋_GB2312" w:eastAsia="仿宋_GB2312" w:cs="仿宋_GB2312"/>
          <w:color w:val="auto"/>
          <w:kern w:val="2"/>
          <w:sz w:val="32"/>
          <w:szCs w:val="32"/>
          <w:lang w:val="en-US" w:eastAsia="zh-CN" w:bidi="ar-SA"/>
        </w:rPr>
        <w:t>是否规范管理骨灰安葬档案</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工作人员</w:t>
      </w:r>
      <w:r>
        <w:rPr>
          <w:rFonts w:hint="eastAsia" w:ascii="仿宋_GB2312" w:hAnsi="仿宋_GB2312" w:eastAsia="仿宋_GB2312" w:cs="仿宋_GB2312"/>
          <w:color w:val="auto"/>
          <w:kern w:val="2"/>
          <w:sz w:val="32"/>
          <w:szCs w:val="32"/>
          <w:lang w:val="en-US" w:eastAsia="zh-CN" w:bidi="ar-SA"/>
        </w:rPr>
        <w:t>是否</w:t>
      </w:r>
      <w:r>
        <w:rPr>
          <w:rFonts w:hint="default" w:ascii="仿宋_GB2312" w:hAnsi="仿宋_GB2312" w:eastAsia="仿宋_GB2312" w:cs="仿宋_GB2312"/>
          <w:color w:val="auto"/>
          <w:kern w:val="2"/>
          <w:sz w:val="32"/>
          <w:szCs w:val="32"/>
          <w:lang w:val="en-US" w:eastAsia="zh-CN" w:bidi="ar-SA"/>
        </w:rPr>
        <w:t>熟知</w:t>
      </w:r>
      <w:r>
        <w:rPr>
          <w:rFonts w:hint="eastAsia" w:ascii="仿宋_GB2312" w:hAnsi="仿宋_GB2312" w:eastAsia="仿宋_GB2312" w:cs="仿宋_GB2312"/>
          <w:color w:val="auto"/>
          <w:kern w:val="2"/>
          <w:sz w:val="32"/>
          <w:szCs w:val="32"/>
          <w:lang w:val="en-US" w:eastAsia="zh-CN" w:bidi="ar-SA"/>
        </w:rPr>
        <w:t>殡葬</w:t>
      </w:r>
      <w:r>
        <w:rPr>
          <w:rFonts w:hint="default" w:ascii="仿宋_GB2312" w:hAnsi="仿宋_GB2312" w:eastAsia="仿宋_GB2312" w:cs="仿宋_GB2312"/>
          <w:color w:val="auto"/>
          <w:kern w:val="2"/>
          <w:sz w:val="32"/>
          <w:szCs w:val="32"/>
          <w:lang w:val="en-US" w:eastAsia="zh-CN" w:bidi="ar-SA"/>
        </w:rPr>
        <w:t>管理有关法规政策</w:t>
      </w:r>
      <w:r>
        <w:rPr>
          <w:rFonts w:hint="eastAsia" w:ascii="仿宋_GB2312" w:hAnsi="仿宋_GB2312" w:eastAsia="仿宋_GB2312" w:cs="仿宋_GB2312"/>
          <w:color w:val="auto"/>
          <w:kern w:val="2"/>
          <w:sz w:val="32"/>
          <w:szCs w:val="32"/>
          <w:lang w:val="en-US" w:eastAsia="zh-CN" w:bidi="ar-SA"/>
        </w:rPr>
        <w:t>和业务知识；管理服务人员是否</w:t>
      </w:r>
      <w:r>
        <w:rPr>
          <w:rFonts w:hint="default" w:ascii="仿宋_GB2312" w:hAnsi="仿宋_GB2312" w:eastAsia="仿宋_GB2312" w:cs="仿宋_GB2312"/>
          <w:color w:val="auto"/>
          <w:kern w:val="2"/>
          <w:sz w:val="32"/>
          <w:szCs w:val="32"/>
          <w:lang w:val="en-US" w:eastAsia="zh-CN" w:bidi="ar-SA"/>
        </w:rPr>
        <w:t>着装整洁</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举止得体</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热情周到等。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第十二条</w:t>
      </w:r>
      <w:r>
        <w:rPr>
          <w:rFonts w:hint="eastAsia" w:ascii="仿宋_GB2312" w:hAnsi="仿宋_GB2312" w:eastAsia="仿宋_GB2312" w:cs="仿宋_GB2312"/>
          <w:b/>
          <w:bCs/>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管理方面主要检查：</w:t>
      </w:r>
      <w:r>
        <w:rPr>
          <w:rFonts w:hint="default" w:ascii="仿宋_GB2312" w:hAnsi="仿宋_GB2312" w:eastAsia="仿宋_GB2312" w:cs="仿宋_GB2312"/>
          <w:color w:val="auto"/>
          <w:kern w:val="2"/>
          <w:sz w:val="32"/>
          <w:szCs w:val="32"/>
          <w:lang w:val="en-US" w:eastAsia="zh-CN" w:bidi="ar-SA"/>
        </w:rPr>
        <w:t>是否建立完善</w:t>
      </w:r>
      <w:r>
        <w:rPr>
          <w:rFonts w:hint="eastAsia" w:ascii="仿宋_GB2312" w:hAnsi="仿宋_GB2312" w:eastAsia="仿宋_GB2312" w:cs="仿宋_GB2312"/>
          <w:color w:val="auto"/>
          <w:kern w:val="2"/>
          <w:sz w:val="32"/>
          <w:szCs w:val="32"/>
          <w:lang w:val="en-US" w:eastAsia="zh-CN" w:bidi="ar-SA"/>
        </w:rPr>
        <w:t>的</w:t>
      </w:r>
      <w:r>
        <w:rPr>
          <w:rFonts w:hint="default" w:ascii="仿宋_GB2312" w:hAnsi="仿宋_GB2312" w:eastAsia="仿宋_GB2312" w:cs="仿宋_GB2312"/>
          <w:color w:val="auto"/>
          <w:kern w:val="2"/>
          <w:sz w:val="32"/>
          <w:szCs w:val="32"/>
          <w:lang w:val="en-US" w:eastAsia="zh-CN" w:bidi="ar-SA"/>
        </w:rPr>
        <w:t>规章制度</w:t>
      </w:r>
      <w:r>
        <w:rPr>
          <w:rFonts w:hint="eastAsia" w:ascii="仿宋_GB2312" w:hAnsi="仿宋_GB2312" w:eastAsia="仿宋_GB2312" w:cs="仿宋_GB2312"/>
          <w:color w:val="auto"/>
          <w:kern w:val="2"/>
          <w:sz w:val="32"/>
          <w:szCs w:val="32"/>
          <w:lang w:val="en-US" w:eastAsia="zh-CN" w:bidi="ar-SA"/>
        </w:rPr>
        <w:t>；安全管理责任和疫情防控责任是否压实到位；是否经常性开展安全隐患排查；是否按规定开展殡葬领域突出问题专项整治，加强殡葬行风建设；有无</w:t>
      </w:r>
      <w:r>
        <w:rPr>
          <w:rFonts w:hint="default" w:ascii="仿宋_GB2312" w:hAnsi="仿宋_GB2312" w:eastAsia="仿宋_GB2312" w:cs="仿宋_GB2312"/>
          <w:color w:val="auto"/>
          <w:kern w:val="2"/>
          <w:sz w:val="32"/>
          <w:szCs w:val="32"/>
          <w:lang w:val="en-US" w:eastAsia="zh-CN" w:bidi="ar-SA"/>
        </w:rPr>
        <w:t>群众有效投诉</w:t>
      </w:r>
      <w:r>
        <w:rPr>
          <w:rFonts w:hint="eastAsia" w:ascii="仿宋_GB2312" w:hAnsi="仿宋_GB2312" w:eastAsia="仿宋_GB2312" w:cs="仿宋_GB2312"/>
          <w:color w:val="auto"/>
          <w:kern w:val="2"/>
          <w:sz w:val="32"/>
          <w:szCs w:val="32"/>
          <w:lang w:val="en-US" w:eastAsia="zh-CN" w:bidi="ar-SA"/>
        </w:rPr>
        <w:t>或媒体负面舆情；有无发生安全责任事故等。</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年检程序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经营性公墓的年检工作总体上按照公墓自查、县市核查、省级备案的程序进行。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各经营性公墓应于每年5月底前</w:t>
      </w:r>
      <w:r>
        <w:rPr>
          <w:rFonts w:hint="eastAsia" w:ascii="仿宋_GB2312" w:hAnsi="仿宋_GB2312" w:eastAsia="仿宋_GB2312" w:cs="仿宋_GB2312"/>
          <w:color w:val="auto"/>
          <w:kern w:val="2"/>
          <w:sz w:val="32"/>
          <w:szCs w:val="32"/>
          <w:lang w:val="en-US" w:eastAsia="zh-CN" w:bidi="ar-SA"/>
        </w:rPr>
        <w:t>完成</w:t>
      </w:r>
      <w:r>
        <w:rPr>
          <w:rFonts w:hint="eastAsia" w:ascii="仿宋_GB2312" w:hAnsi="仿宋_GB2312" w:eastAsia="仿宋_GB2312" w:cs="仿宋_GB2312"/>
          <w:color w:val="auto"/>
          <w:sz w:val="32"/>
          <w:szCs w:val="32"/>
          <w:lang w:val="en-US" w:eastAsia="zh-CN"/>
        </w:rPr>
        <w:t>对上一年度建设运营情况的总结、</w:t>
      </w:r>
      <w:r>
        <w:rPr>
          <w:rFonts w:hint="eastAsia" w:ascii="仿宋_GB2312" w:hAnsi="仿宋_GB2312" w:eastAsia="仿宋_GB2312" w:cs="仿宋_GB2312"/>
          <w:color w:val="auto"/>
          <w:kern w:val="2"/>
          <w:sz w:val="32"/>
          <w:szCs w:val="32"/>
          <w:lang w:val="en-US" w:eastAsia="zh-CN" w:bidi="ar-SA"/>
        </w:rPr>
        <w:t>自查工作，</w:t>
      </w:r>
      <w:r>
        <w:rPr>
          <w:rFonts w:hint="eastAsia" w:ascii="仿宋_GB2312" w:hAnsi="仿宋_GB2312" w:eastAsia="仿宋_GB2312" w:cs="仿宋_GB2312"/>
          <w:color w:val="auto"/>
          <w:sz w:val="32"/>
          <w:szCs w:val="32"/>
          <w:lang w:val="en-US" w:eastAsia="zh-CN"/>
        </w:rPr>
        <w:t>向当地民政部门逐级报送上一年度工作总结和</w:t>
      </w:r>
      <w:r>
        <w:rPr>
          <w:rFonts w:hint="eastAsia" w:ascii="仿宋_GB2312" w:hAnsi="仿宋_GB2312" w:eastAsia="仿宋_GB2312" w:cs="仿宋_GB2312"/>
          <w:color w:val="auto"/>
          <w:kern w:val="2"/>
          <w:sz w:val="32"/>
          <w:szCs w:val="32"/>
          <w:lang w:val="en-US" w:eastAsia="zh-CN" w:bidi="ar-SA"/>
        </w:rPr>
        <w:t>年检登记表</w:t>
      </w:r>
      <w:r>
        <w:rPr>
          <w:rFonts w:hint="eastAsia" w:ascii="仿宋_GB2312" w:hAnsi="仿宋_GB2312" w:eastAsia="仿宋_GB2312" w:cs="仿宋_GB2312"/>
          <w:color w:val="auto"/>
          <w:sz w:val="32"/>
          <w:szCs w:val="32"/>
          <w:lang w:val="en-US" w:eastAsia="zh-CN"/>
        </w:rPr>
        <w:t>，并提交下列材料：</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（一）土地使用批准手续复印件；</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default" w:ascii="Times New Roman" w:hAnsi="Times New Roman" w:eastAsia="仿宋_GB2312" w:cs="Times New Roman"/>
          <w:color w:val="auto"/>
          <w:sz w:val="32"/>
          <w:szCs w:val="32"/>
          <w:lang w:val="en-US" w:eastAsia="zh-CN"/>
        </w:rPr>
        <w:t>经营性公墓证书</w:t>
      </w:r>
      <w:r>
        <w:rPr>
          <w:rFonts w:hint="eastAsia" w:ascii="仿宋_GB2312" w:hAnsi="仿宋_GB2312" w:eastAsia="仿宋_GB2312" w:cs="仿宋_GB2312"/>
          <w:color w:val="auto"/>
          <w:sz w:val="32"/>
          <w:szCs w:val="32"/>
          <w:lang w:val="en-US" w:eastAsia="zh-CN"/>
        </w:rPr>
        <w:t>副本；</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（三）服务项目和收费标准备案材料；</w:t>
      </w:r>
      <w:r>
        <w:rPr>
          <w:rFonts w:hint="eastAsia" w:ascii="仿宋_GB2312" w:hAnsi="仿宋_GB2312" w:eastAsia="仿宋_GB2312" w:cs="仿宋_GB2312"/>
          <w:color w:val="auto"/>
          <w:kern w:val="2"/>
          <w:sz w:val="32"/>
          <w:szCs w:val="32"/>
          <w:lang w:val="en-US" w:eastAsia="zh-CN" w:bidi="ar-SA"/>
        </w:rPr>
        <w:t>　　</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kern w:val="2"/>
          <w:sz w:val="32"/>
          <w:szCs w:val="32"/>
          <w:lang w:val="en-US" w:eastAsia="zh-CN" w:bidi="ar-SA"/>
        </w:rPr>
        <w:t>上年度</w:t>
      </w:r>
      <w:r>
        <w:rPr>
          <w:rFonts w:hint="eastAsia" w:ascii="仿宋_GB2312" w:hAnsi="仿宋_GB2312" w:eastAsia="仿宋_GB2312" w:cs="仿宋_GB2312"/>
          <w:color w:val="auto"/>
          <w:sz w:val="32"/>
          <w:szCs w:val="32"/>
          <w:lang w:val="en-US" w:eastAsia="zh-CN"/>
        </w:rPr>
        <w:t>正规合法的</w:t>
      </w:r>
      <w:r>
        <w:rPr>
          <w:rFonts w:hint="eastAsia" w:ascii="仿宋_GB2312" w:hAnsi="仿宋_GB2312" w:eastAsia="仿宋_GB2312" w:cs="仿宋_GB2312"/>
          <w:color w:val="auto"/>
          <w:kern w:val="2"/>
          <w:sz w:val="32"/>
          <w:szCs w:val="32"/>
          <w:lang w:val="en-US" w:eastAsia="zh-CN" w:bidi="ar-SA"/>
        </w:rPr>
        <w:t>财务决算报表或审计报告复印件</w:t>
      </w:r>
      <w:r>
        <w:rPr>
          <w:rFonts w:hint="eastAsia" w:ascii="Times New Roman" w:hAnsi="Times New Roman" w:eastAsia="仿宋_GB2312" w:cs="Times New Roman"/>
          <w:color w:val="auto"/>
          <w:sz w:val="32"/>
          <w:szCs w:val="32"/>
          <w:lang w:val="en-US" w:eastAsia="zh-CN"/>
        </w:rPr>
        <w:t>。</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（五）墓穴（格位）使用合同书式样；</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（六）其它需要提供的佐证资料。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 xml:space="preserve">第十五条  </w:t>
      </w:r>
      <w:r>
        <w:rPr>
          <w:rFonts w:hint="eastAsia" w:ascii="仿宋_GB2312" w:hAnsi="仿宋_GB2312" w:eastAsia="仿宋_GB2312" w:cs="仿宋_GB2312"/>
          <w:color w:val="auto"/>
          <w:kern w:val="2"/>
          <w:sz w:val="32"/>
          <w:szCs w:val="32"/>
          <w:lang w:val="en-US" w:eastAsia="zh-CN" w:bidi="ar-SA"/>
        </w:rPr>
        <w:t>县（市、区）民政部门收到经营性公墓报送的材料后，应当依照规定进行初审，发现报送的材料不齐或有疑义的，应当要求经营性公墓予以补充或作出说明，必要时可以进行调查核实。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县</w:t>
      </w:r>
      <w:r>
        <w:rPr>
          <w:rFonts w:hint="eastAsia" w:ascii="仿宋_GB2312" w:hAnsi="仿宋_GB2312" w:eastAsia="仿宋_GB2312" w:cs="仿宋_GB2312"/>
          <w:color w:val="auto"/>
          <w:kern w:val="2"/>
          <w:sz w:val="32"/>
          <w:szCs w:val="32"/>
          <w:lang w:val="en-US" w:eastAsia="zh-CN" w:bidi="ar-SA"/>
        </w:rPr>
        <w:t>（市、区）民政部门</w:t>
      </w:r>
      <w:r>
        <w:rPr>
          <w:rFonts w:hint="default" w:ascii="仿宋_GB2312" w:hAnsi="仿宋_GB2312" w:eastAsia="仿宋_GB2312" w:cs="仿宋_GB2312"/>
          <w:color w:val="auto"/>
          <w:kern w:val="2"/>
          <w:sz w:val="32"/>
          <w:szCs w:val="32"/>
          <w:lang w:val="en-US" w:eastAsia="zh-CN" w:bidi="ar-SA"/>
        </w:rPr>
        <w:t>应当在</w:t>
      </w:r>
      <w:r>
        <w:rPr>
          <w:rFonts w:hint="eastAsia" w:ascii="仿宋_GB2312" w:hAnsi="仿宋_GB2312" w:eastAsia="仿宋_GB2312" w:cs="仿宋_GB2312"/>
          <w:color w:val="auto"/>
          <w:kern w:val="2"/>
          <w:sz w:val="32"/>
          <w:szCs w:val="32"/>
          <w:lang w:val="en-US" w:eastAsia="zh-CN" w:bidi="ar-SA"/>
        </w:rPr>
        <w:t>15日</w:t>
      </w:r>
      <w:r>
        <w:rPr>
          <w:rFonts w:hint="default" w:ascii="仿宋_GB2312" w:hAnsi="仿宋_GB2312" w:eastAsia="仿宋_GB2312" w:cs="仿宋_GB2312"/>
          <w:color w:val="auto"/>
          <w:kern w:val="2"/>
          <w:sz w:val="32"/>
          <w:szCs w:val="32"/>
          <w:lang w:val="en-US" w:eastAsia="zh-CN" w:bidi="ar-SA"/>
        </w:rPr>
        <w:t>内完成</w:t>
      </w:r>
      <w:r>
        <w:rPr>
          <w:rFonts w:hint="eastAsia" w:ascii="仿宋_GB2312" w:hAnsi="仿宋_GB2312" w:eastAsia="仿宋_GB2312" w:cs="仿宋_GB2312"/>
          <w:color w:val="auto"/>
          <w:kern w:val="2"/>
          <w:sz w:val="32"/>
          <w:szCs w:val="32"/>
          <w:lang w:val="en-US" w:eastAsia="zh-CN" w:bidi="ar-SA"/>
        </w:rPr>
        <w:t>初</w:t>
      </w:r>
      <w:r>
        <w:rPr>
          <w:rFonts w:hint="default" w:ascii="仿宋_GB2312" w:hAnsi="仿宋_GB2312" w:eastAsia="仿宋_GB2312" w:cs="仿宋_GB2312"/>
          <w:color w:val="auto"/>
          <w:kern w:val="2"/>
          <w:sz w:val="32"/>
          <w:szCs w:val="32"/>
          <w:lang w:val="en-US" w:eastAsia="zh-CN" w:bidi="ar-SA"/>
        </w:rPr>
        <w:t>审，出具初审意见和</w:t>
      </w:r>
      <w:r>
        <w:rPr>
          <w:rFonts w:hint="eastAsia" w:ascii="仿宋_GB2312" w:hAnsi="仿宋_GB2312" w:eastAsia="仿宋_GB2312" w:cs="仿宋_GB2312"/>
          <w:color w:val="auto"/>
          <w:kern w:val="2"/>
          <w:sz w:val="32"/>
          <w:szCs w:val="32"/>
          <w:lang w:val="en-US" w:eastAsia="zh-CN" w:bidi="ar-SA"/>
        </w:rPr>
        <w:t>年检结果</w:t>
      </w:r>
      <w:r>
        <w:rPr>
          <w:rFonts w:hint="default" w:ascii="仿宋_GB2312" w:hAnsi="仿宋_GB2312" w:eastAsia="仿宋_GB2312" w:cs="仿宋_GB2312"/>
          <w:color w:val="auto"/>
          <w:kern w:val="2"/>
          <w:sz w:val="32"/>
          <w:szCs w:val="32"/>
          <w:lang w:val="en-US" w:eastAsia="zh-CN" w:bidi="ar-SA"/>
        </w:rPr>
        <w:t>建议，连同</w:t>
      </w:r>
      <w:r>
        <w:rPr>
          <w:rFonts w:hint="eastAsia" w:ascii="仿宋_GB2312" w:hAnsi="仿宋_GB2312" w:eastAsia="仿宋_GB2312" w:cs="仿宋_GB2312"/>
          <w:color w:val="auto"/>
          <w:kern w:val="2"/>
          <w:sz w:val="32"/>
          <w:szCs w:val="32"/>
          <w:lang w:val="en-US" w:eastAsia="zh-CN" w:bidi="ar-SA"/>
        </w:rPr>
        <w:t>经营性公墓</w:t>
      </w:r>
      <w:r>
        <w:rPr>
          <w:rFonts w:hint="default" w:ascii="仿宋_GB2312" w:hAnsi="仿宋_GB2312" w:eastAsia="仿宋_GB2312" w:cs="仿宋_GB2312"/>
          <w:color w:val="auto"/>
          <w:kern w:val="2"/>
          <w:sz w:val="32"/>
          <w:szCs w:val="32"/>
          <w:lang w:val="en-US" w:eastAsia="zh-CN" w:bidi="ar-SA"/>
        </w:rPr>
        <w:t>报送的材料，一并报</w:t>
      </w:r>
      <w:r>
        <w:rPr>
          <w:rFonts w:hint="eastAsia" w:ascii="仿宋_GB2312" w:hAnsi="仿宋_GB2312" w:eastAsia="仿宋_GB2312" w:cs="仿宋_GB2312"/>
          <w:color w:val="auto"/>
          <w:kern w:val="2"/>
          <w:sz w:val="32"/>
          <w:szCs w:val="32"/>
          <w:lang w:val="en-US" w:eastAsia="zh-CN" w:bidi="ar-SA"/>
        </w:rPr>
        <w:t>市（州）民政部门</w:t>
      </w:r>
      <w:r>
        <w:rPr>
          <w:rFonts w:hint="default" w:ascii="仿宋_GB2312" w:hAnsi="仿宋_GB2312" w:eastAsia="仿宋_GB2312" w:cs="仿宋_GB2312"/>
          <w:color w:val="auto"/>
          <w:kern w:val="2"/>
          <w:sz w:val="32"/>
          <w:szCs w:val="32"/>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第十</w:t>
      </w:r>
      <w:r>
        <w:rPr>
          <w:rFonts w:hint="eastAsia" w:ascii="楷体_GB2312" w:hAnsi="楷体_GB2312" w:eastAsia="楷体_GB2312" w:cs="楷体_GB2312"/>
          <w:b/>
          <w:bCs/>
          <w:color w:val="auto"/>
          <w:sz w:val="32"/>
          <w:szCs w:val="32"/>
          <w:lang w:val="en-US" w:eastAsia="zh-CN"/>
        </w:rPr>
        <w:t>六</w:t>
      </w:r>
      <w:r>
        <w:rPr>
          <w:rFonts w:hint="default" w:ascii="楷体_GB2312" w:hAnsi="楷体_GB2312" w:eastAsia="楷体_GB2312" w:cs="楷体_GB2312"/>
          <w:b/>
          <w:bCs/>
          <w:color w:val="auto"/>
          <w:sz w:val="32"/>
          <w:szCs w:val="32"/>
          <w:lang w:val="en-US" w:eastAsia="zh-CN"/>
        </w:rPr>
        <w:t>条</w:t>
      </w:r>
      <w:r>
        <w:rPr>
          <w:rFonts w:hint="default"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市（州）民政部门</w:t>
      </w:r>
      <w:r>
        <w:rPr>
          <w:rFonts w:hint="default" w:ascii="仿宋_GB2312" w:hAnsi="仿宋_GB2312" w:eastAsia="仿宋_GB2312" w:cs="仿宋_GB2312"/>
          <w:color w:val="auto"/>
          <w:kern w:val="2"/>
          <w:sz w:val="32"/>
          <w:szCs w:val="32"/>
          <w:lang w:val="en-US" w:eastAsia="zh-CN" w:bidi="ar-SA"/>
        </w:rPr>
        <w:t>收到县</w:t>
      </w:r>
      <w:r>
        <w:rPr>
          <w:rFonts w:hint="eastAsia" w:ascii="仿宋_GB2312" w:hAnsi="仿宋_GB2312" w:eastAsia="仿宋_GB2312" w:cs="仿宋_GB2312"/>
          <w:color w:val="auto"/>
          <w:kern w:val="2"/>
          <w:sz w:val="32"/>
          <w:szCs w:val="32"/>
          <w:lang w:val="en-US" w:eastAsia="zh-CN" w:bidi="ar-SA"/>
        </w:rPr>
        <w:t>（市、区）民政部门</w:t>
      </w:r>
      <w:r>
        <w:rPr>
          <w:rFonts w:hint="default" w:ascii="仿宋_GB2312" w:hAnsi="仿宋_GB2312" w:eastAsia="仿宋_GB2312" w:cs="仿宋_GB2312"/>
          <w:color w:val="auto"/>
          <w:kern w:val="2"/>
          <w:sz w:val="32"/>
          <w:szCs w:val="32"/>
          <w:lang w:val="en-US" w:eastAsia="zh-CN" w:bidi="ar-SA"/>
        </w:rPr>
        <w:t>报送的</w:t>
      </w:r>
      <w:r>
        <w:rPr>
          <w:rFonts w:hint="eastAsia" w:ascii="仿宋_GB2312" w:hAnsi="仿宋_GB2312" w:eastAsia="仿宋_GB2312" w:cs="仿宋_GB2312"/>
          <w:color w:val="auto"/>
          <w:kern w:val="2"/>
          <w:sz w:val="32"/>
          <w:szCs w:val="32"/>
          <w:lang w:val="en-US" w:eastAsia="zh-CN" w:bidi="ar-SA"/>
        </w:rPr>
        <w:t>经营性公墓</w:t>
      </w:r>
      <w:r>
        <w:rPr>
          <w:rFonts w:hint="default" w:ascii="仿宋_GB2312" w:hAnsi="仿宋_GB2312" w:eastAsia="仿宋_GB2312" w:cs="仿宋_GB2312"/>
          <w:color w:val="auto"/>
          <w:kern w:val="2"/>
          <w:sz w:val="32"/>
          <w:szCs w:val="32"/>
          <w:lang w:val="en-US" w:eastAsia="zh-CN" w:bidi="ar-SA"/>
        </w:rPr>
        <w:t>材料和初审意见后，应当依照</w:t>
      </w:r>
      <w:r>
        <w:rPr>
          <w:rFonts w:hint="eastAsia" w:ascii="仿宋_GB2312" w:hAnsi="仿宋_GB2312" w:eastAsia="仿宋_GB2312" w:cs="仿宋_GB2312"/>
          <w:color w:val="auto"/>
          <w:kern w:val="2"/>
          <w:sz w:val="32"/>
          <w:szCs w:val="32"/>
          <w:lang w:val="en-US" w:eastAsia="zh-CN" w:bidi="ar-SA"/>
        </w:rPr>
        <w:t>年检</w:t>
      </w:r>
      <w:r>
        <w:rPr>
          <w:rFonts w:hint="default" w:ascii="仿宋_GB2312" w:hAnsi="仿宋_GB2312" w:eastAsia="仿宋_GB2312" w:cs="仿宋_GB2312"/>
          <w:color w:val="auto"/>
          <w:kern w:val="2"/>
          <w:sz w:val="32"/>
          <w:szCs w:val="32"/>
          <w:lang w:val="en-US" w:eastAsia="zh-CN" w:bidi="ar-SA"/>
        </w:rPr>
        <w:t>内容和</w:t>
      </w:r>
      <w:r>
        <w:rPr>
          <w:rFonts w:hint="eastAsia" w:ascii="仿宋_GB2312" w:hAnsi="仿宋_GB2312" w:eastAsia="仿宋_GB2312" w:cs="仿宋_GB2312"/>
          <w:color w:val="auto"/>
          <w:kern w:val="2"/>
          <w:sz w:val="32"/>
          <w:szCs w:val="32"/>
          <w:lang w:val="en-US" w:eastAsia="zh-CN" w:bidi="ar-SA"/>
        </w:rPr>
        <w:t>打分</w:t>
      </w:r>
      <w:r>
        <w:rPr>
          <w:rFonts w:hint="default" w:ascii="仿宋_GB2312" w:hAnsi="仿宋_GB2312" w:eastAsia="仿宋_GB2312" w:cs="仿宋_GB2312"/>
          <w:color w:val="auto"/>
          <w:kern w:val="2"/>
          <w:sz w:val="32"/>
          <w:szCs w:val="32"/>
          <w:lang w:val="en-US" w:eastAsia="zh-CN" w:bidi="ar-SA"/>
        </w:rPr>
        <w:t>标准，对</w:t>
      </w:r>
      <w:r>
        <w:rPr>
          <w:rFonts w:hint="eastAsia" w:ascii="仿宋_GB2312" w:hAnsi="仿宋_GB2312" w:eastAsia="仿宋_GB2312" w:cs="仿宋_GB2312"/>
          <w:color w:val="auto"/>
          <w:kern w:val="2"/>
          <w:sz w:val="32"/>
          <w:szCs w:val="32"/>
          <w:lang w:val="en-US" w:eastAsia="zh-CN" w:bidi="ar-SA"/>
        </w:rPr>
        <w:t>经营性公墓</w:t>
      </w:r>
      <w:r>
        <w:rPr>
          <w:rFonts w:hint="default" w:ascii="仿宋_GB2312" w:hAnsi="仿宋_GB2312" w:eastAsia="仿宋_GB2312" w:cs="仿宋_GB2312"/>
          <w:color w:val="auto"/>
          <w:kern w:val="2"/>
          <w:sz w:val="32"/>
          <w:szCs w:val="32"/>
          <w:lang w:val="en-US" w:eastAsia="zh-CN" w:bidi="ar-SA"/>
        </w:rPr>
        <w:t>上一年度的</w:t>
      </w:r>
      <w:r>
        <w:rPr>
          <w:rFonts w:hint="eastAsia" w:ascii="仿宋_GB2312" w:hAnsi="仿宋_GB2312" w:eastAsia="仿宋_GB2312" w:cs="仿宋_GB2312"/>
          <w:color w:val="auto"/>
          <w:kern w:val="2"/>
          <w:sz w:val="32"/>
          <w:szCs w:val="32"/>
          <w:lang w:val="en-US" w:eastAsia="zh-CN" w:bidi="ar-SA"/>
        </w:rPr>
        <w:t>建设运营</w:t>
      </w:r>
      <w:r>
        <w:rPr>
          <w:rFonts w:hint="default" w:ascii="仿宋_GB2312" w:hAnsi="仿宋_GB2312" w:eastAsia="仿宋_GB2312" w:cs="仿宋_GB2312"/>
          <w:color w:val="auto"/>
          <w:kern w:val="2"/>
          <w:sz w:val="32"/>
          <w:szCs w:val="32"/>
          <w:lang w:val="en-US" w:eastAsia="zh-CN" w:bidi="ar-SA"/>
        </w:rPr>
        <w:t>情况进行审查</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会同相关部门根据日常了解情况，结合佐证材料验证和实地检查情况，对各经营性公墓进行打分，确定年检结论。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仿宋_GB2312" w:hAnsi="仿宋_GB2312" w:eastAsia="仿宋_GB2312" w:cs="仿宋_GB2312"/>
          <w:color w:val="auto"/>
          <w:kern w:val="2"/>
          <w:sz w:val="32"/>
          <w:szCs w:val="32"/>
          <w:lang w:val="en-US" w:eastAsia="zh-CN" w:bidi="ar-SA"/>
        </w:rPr>
      </w:pPr>
      <w:r>
        <w:rPr>
          <w:rFonts w:hint="default" w:ascii="楷体_GB2312" w:hAnsi="楷体_GB2312" w:eastAsia="楷体_GB2312" w:cs="楷体_GB2312"/>
          <w:b/>
          <w:bCs/>
          <w:color w:val="auto"/>
          <w:sz w:val="32"/>
          <w:szCs w:val="32"/>
          <w:lang w:val="en-US" w:eastAsia="zh-CN"/>
        </w:rPr>
        <w:t>第</w:t>
      </w:r>
      <w:r>
        <w:rPr>
          <w:rFonts w:hint="eastAsia" w:ascii="楷体_GB2312" w:hAnsi="楷体_GB2312" w:eastAsia="楷体_GB2312" w:cs="楷体_GB2312"/>
          <w:b/>
          <w:bCs/>
          <w:color w:val="auto"/>
          <w:sz w:val="32"/>
          <w:szCs w:val="32"/>
          <w:lang w:val="en-US" w:eastAsia="zh-CN"/>
        </w:rPr>
        <w:t>十七</w:t>
      </w:r>
      <w:r>
        <w:rPr>
          <w:rFonts w:hint="default" w:ascii="楷体_GB2312" w:hAnsi="楷体_GB2312" w:eastAsia="楷体_GB2312" w:cs="楷体_GB2312"/>
          <w:b/>
          <w:bCs/>
          <w:color w:val="auto"/>
          <w:sz w:val="32"/>
          <w:szCs w:val="32"/>
          <w:lang w:val="en-US" w:eastAsia="zh-CN"/>
        </w:rPr>
        <w:t>条</w:t>
      </w:r>
      <w:r>
        <w:rPr>
          <w:rFonts w:hint="default"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市（州）属经营性公墓直接</w:t>
      </w:r>
      <w:r>
        <w:rPr>
          <w:rFonts w:hint="default" w:ascii="仿宋_GB2312" w:hAnsi="仿宋_GB2312" w:eastAsia="仿宋_GB2312" w:cs="仿宋_GB2312"/>
          <w:color w:val="auto"/>
          <w:kern w:val="2"/>
          <w:sz w:val="32"/>
          <w:szCs w:val="32"/>
          <w:lang w:val="en-US" w:eastAsia="zh-CN" w:bidi="ar-SA"/>
        </w:rPr>
        <w:t>由</w:t>
      </w:r>
      <w:r>
        <w:rPr>
          <w:rFonts w:hint="eastAsia" w:ascii="仿宋_GB2312" w:hAnsi="仿宋_GB2312" w:eastAsia="仿宋_GB2312" w:cs="仿宋_GB2312"/>
          <w:color w:val="auto"/>
          <w:kern w:val="2"/>
          <w:sz w:val="32"/>
          <w:szCs w:val="32"/>
          <w:lang w:val="en-US" w:eastAsia="zh-CN" w:bidi="ar-SA"/>
        </w:rPr>
        <w:t>市（州）民政部门</w:t>
      </w:r>
      <w:r>
        <w:rPr>
          <w:rFonts w:hint="default" w:ascii="仿宋_GB2312" w:hAnsi="仿宋_GB2312" w:eastAsia="仿宋_GB2312" w:cs="仿宋_GB2312"/>
          <w:color w:val="auto"/>
          <w:kern w:val="2"/>
          <w:sz w:val="32"/>
          <w:szCs w:val="32"/>
          <w:lang w:val="en-US" w:eastAsia="zh-CN" w:bidi="ar-SA"/>
        </w:rPr>
        <w:t>进行年检。</w:t>
      </w:r>
    </w:p>
    <w:p>
      <w:pPr>
        <w:pStyle w:val="2"/>
        <w:keepNext w:val="0"/>
        <w:keepLines w:val="0"/>
        <w:pageBreakBefore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第十八条</w:t>
      </w:r>
      <w:r>
        <w:rPr>
          <w:rFonts w:hint="eastAsia" w:ascii="仿宋_GB2312" w:hAnsi="仿宋_GB2312" w:eastAsia="仿宋_GB2312" w:cs="仿宋_GB2312"/>
          <w:color w:val="auto"/>
          <w:kern w:val="2"/>
          <w:sz w:val="32"/>
          <w:szCs w:val="32"/>
          <w:lang w:val="en-US" w:eastAsia="zh-CN" w:bidi="ar-SA"/>
        </w:rPr>
        <w:t xml:space="preserve">  市（州）民政部门应建立完善的经营性公墓年检档案，并妥善保管。</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楷体_GB2312" w:hAnsi="楷体_GB2312" w:eastAsia="楷体_GB2312" w:cs="楷体_GB2312"/>
          <w:b/>
          <w:bCs/>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第五章  年检结论</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第十九条</w:t>
      </w:r>
      <w:r>
        <w:rPr>
          <w:rFonts w:hint="eastAsia" w:ascii="仿宋_GB2312" w:hAnsi="仿宋_GB2312" w:eastAsia="仿宋_GB2312" w:cs="仿宋_GB2312"/>
          <w:color w:val="auto"/>
          <w:sz w:val="32"/>
          <w:szCs w:val="32"/>
          <w:lang w:val="en-US" w:eastAsia="zh-CN"/>
        </w:rPr>
        <w:t xml:space="preserve">  经营性公墓年度检查</w:t>
      </w:r>
      <w:r>
        <w:rPr>
          <w:rFonts w:hint="default" w:ascii="Times New Roman" w:hAnsi="Times New Roman" w:eastAsia="仿宋_GB2312" w:cs="Times New Roman"/>
          <w:color w:val="auto"/>
          <w:sz w:val="32"/>
          <w:szCs w:val="32"/>
        </w:rPr>
        <w:t>的结论</w:t>
      </w:r>
      <w:r>
        <w:rPr>
          <w:rFonts w:hint="eastAsia" w:ascii="仿宋_GB2312" w:hAnsi="仿宋_GB2312" w:eastAsia="仿宋_GB2312" w:cs="仿宋_GB2312"/>
          <w:color w:val="auto"/>
          <w:sz w:val="32"/>
          <w:szCs w:val="32"/>
          <w:lang w:val="en-US" w:eastAsia="zh-CN"/>
        </w:rPr>
        <w:t>分为“合格”、“基本合格”、“不合格”三类。</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（一）年检得分在80分以上的，确定为合格；</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（二）年检得分在60分至79分，确定为基本合格。</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（二）年检得分在60分以下，确定为不合格。</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第二十条  </w:t>
      </w:r>
      <w:r>
        <w:rPr>
          <w:rFonts w:hint="eastAsia" w:ascii="仿宋_GB2312" w:hAnsi="仿宋_GB2312" w:eastAsia="仿宋_GB2312" w:cs="仿宋_GB2312"/>
          <w:color w:val="auto"/>
          <w:sz w:val="32"/>
          <w:szCs w:val="32"/>
          <w:lang w:val="en-US" w:eastAsia="zh-CN"/>
        </w:rPr>
        <w:t>经营性公墓有下列行为之一的，应确定为不合格 ：</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（一）无故不参加年检的；</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（二）有炒买炒卖墓穴、擅自扩大墓区面积、擅自变更行政许可事项等违法违规行为的；</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（三）多次受到群众投诉或信访，对反映的合理问题拒不纠正和解决的；</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（四）有媒体报道造成较大负面影响的；</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（五）经营管理混乱不能正常经营和开展服务的；</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（六）有其它违法违规行为的。</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公示复</w:t>
      </w:r>
      <w:r>
        <w:rPr>
          <w:rFonts w:hint="default" w:ascii="黑体" w:hAnsi="黑体" w:eastAsia="黑体" w:cs="黑体"/>
          <w:b w:val="0"/>
          <w:bCs w:val="0"/>
          <w:color w:val="auto"/>
          <w:sz w:val="32"/>
          <w:szCs w:val="32"/>
          <w:lang w:val="en-US" w:eastAsia="zh-CN"/>
        </w:rPr>
        <w:t>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 xml:space="preserve">第二十一条  </w:t>
      </w:r>
      <w:r>
        <w:rPr>
          <w:rFonts w:hint="eastAsia" w:ascii="仿宋_GB2312" w:hAnsi="仿宋_GB2312" w:eastAsia="仿宋_GB2312" w:cs="仿宋_GB2312"/>
          <w:color w:val="auto"/>
          <w:kern w:val="2"/>
          <w:sz w:val="32"/>
          <w:szCs w:val="32"/>
          <w:lang w:val="en-US" w:eastAsia="zh-CN" w:bidi="ar-SA"/>
        </w:rPr>
        <w:t>经营性公墓的年检结果确定后，市（州）民政部门应当将年检结果在一定范围内予以公示。公示期不得少于5个工作日。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 xml:space="preserve">第二十二条  </w:t>
      </w:r>
      <w:r>
        <w:rPr>
          <w:rFonts w:hint="eastAsia" w:ascii="仿宋_GB2312" w:hAnsi="仿宋_GB2312" w:eastAsia="仿宋_GB2312" w:cs="仿宋_GB2312"/>
          <w:color w:val="auto"/>
          <w:kern w:val="2"/>
          <w:sz w:val="32"/>
          <w:szCs w:val="32"/>
          <w:lang w:val="en-US" w:eastAsia="zh-CN" w:bidi="ar-SA"/>
        </w:rPr>
        <w:t>经营性公墓</w:t>
      </w:r>
      <w:r>
        <w:rPr>
          <w:rFonts w:hint="default" w:ascii="仿宋_GB2312" w:hAnsi="仿宋_GB2312" w:eastAsia="仿宋_GB2312" w:cs="仿宋_GB2312"/>
          <w:color w:val="auto"/>
          <w:kern w:val="2"/>
          <w:sz w:val="32"/>
          <w:szCs w:val="32"/>
          <w:lang w:val="en-US" w:eastAsia="zh-CN" w:bidi="ar-SA"/>
        </w:rPr>
        <w:t>对</w:t>
      </w:r>
      <w:r>
        <w:rPr>
          <w:rFonts w:hint="eastAsia" w:ascii="仿宋_GB2312" w:hAnsi="仿宋_GB2312" w:eastAsia="仿宋_GB2312" w:cs="仿宋_GB2312"/>
          <w:color w:val="auto"/>
          <w:kern w:val="2"/>
          <w:sz w:val="32"/>
          <w:szCs w:val="32"/>
          <w:lang w:val="en-US" w:eastAsia="zh-CN" w:bidi="ar-SA"/>
        </w:rPr>
        <w:t>年检</w:t>
      </w:r>
      <w:r>
        <w:rPr>
          <w:rFonts w:hint="default" w:ascii="仿宋_GB2312" w:hAnsi="仿宋_GB2312" w:eastAsia="仿宋_GB2312" w:cs="仿宋_GB2312"/>
          <w:color w:val="auto"/>
          <w:kern w:val="2"/>
          <w:sz w:val="32"/>
          <w:szCs w:val="32"/>
          <w:lang w:val="en-US" w:eastAsia="zh-CN" w:bidi="ar-SA"/>
        </w:rPr>
        <w:t>结果有异议的，可以向</w:t>
      </w:r>
      <w:r>
        <w:rPr>
          <w:rFonts w:hint="eastAsia" w:ascii="仿宋_GB2312" w:hAnsi="仿宋_GB2312" w:eastAsia="仿宋_GB2312" w:cs="仿宋_GB2312"/>
          <w:color w:val="auto"/>
          <w:kern w:val="2"/>
          <w:sz w:val="32"/>
          <w:szCs w:val="32"/>
          <w:lang w:val="en-US" w:eastAsia="zh-CN" w:bidi="ar-SA"/>
        </w:rPr>
        <w:t>市（州）民政部门</w:t>
      </w:r>
      <w:r>
        <w:rPr>
          <w:rFonts w:hint="default" w:ascii="仿宋_GB2312" w:hAnsi="仿宋_GB2312" w:eastAsia="仿宋_GB2312" w:cs="仿宋_GB2312"/>
          <w:color w:val="auto"/>
          <w:kern w:val="2"/>
          <w:sz w:val="32"/>
          <w:szCs w:val="32"/>
          <w:lang w:val="en-US" w:eastAsia="zh-CN" w:bidi="ar-SA"/>
        </w:rPr>
        <w:t>申请复查。</w:t>
      </w:r>
      <w:r>
        <w:rPr>
          <w:rFonts w:hint="eastAsia" w:ascii="仿宋_GB2312" w:hAnsi="仿宋_GB2312" w:eastAsia="仿宋_GB2312" w:cs="仿宋_GB2312"/>
          <w:color w:val="auto"/>
          <w:kern w:val="2"/>
          <w:sz w:val="32"/>
          <w:szCs w:val="32"/>
          <w:lang w:val="en-US" w:eastAsia="zh-CN" w:bidi="ar-SA"/>
        </w:rPr>
        <w:t>市（州）民政部门</w:t>
      </w:r>
      <w:r>
        <w:rPr>
          <w:rFonts w:hint="default" w:ascii="仿宋_GB2312" w:hAnsi="仿宋_GB2312" w:eastAsia="仿宋_GB2312" w:cs="仿宋_GB2312"/>
          <w:color w:val="auto"/>
          <w:kern w:val="2"/>
          <w:sz w:val="32"/>
          <w:szCs w:val="32"/>
          <w:lang w:val="en-US" w:eastAsia="zh-CN" w:bidi="ar-SA"/>
        </w:rPr>
        <w:t>应当自收到申请之日起</w:t>
      </w:r>
      <w:r>
        <w:rPr>
          <w:rFonts w:hint="eastAsia" w:ascii="仿宋_GB2312" w:hAnsi="仿宋_GB2312" w:eastAsia="仿宋_GB2312" w:cs="仿宋_GB2312"/>
          <w:color w:val="auto"/>
          <w:kern w:val="2"/>
          <w:sz w:val="32"/>
          <w:szCs w:val="32"/>
          <w:lang w:val="en-US" w:eastAsia="zh-CN" w:bidi="ar-SA"/>
        </w:rPr>
        <w:t>10</w:t>
      </w:r>
      <w:r>
        <w:rPr>
          <w:rFonts w:hint="default" w:ascii="仿宋_GB2312" w:hAnsi="仿宋_GB2312" w:eastAsia="仿宋_GB2312" w:cs="仿宋_GB2312"/>
          <w:color w:val="auto"/>
          <w:kern w:val="2"/>
          <w:sz w:val="32"/>
          <w:szCs w:val="32"/>
          <w:lang w:val="en-US" w:eastAsia="zh-CN" w:bidi="ar-SA"/>
        </w:rPr>
        <w:t>日内进行复查，并将复查结果书面告知申请人。</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第七章  结果运用</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第二十三条  </w:t>
      </w:r>
      <w:r>
        <w:rPr>
          <w:rFonts w:hint="eastAsia" w:ascii="仿宋_GB2312" w:hAnsi="仿宋_GB2312" w:eastAsia="仿宋_GB2312" w:cs="仿宋_GB2312"/>
          <w:color w:val="auto"/>
          <w:sz w:val="32"/>
          <w:szCs w:val="32"/>
          <w:lang w:val="en-US" w:eastAsia="zh-CN"/>
        </w:rPr>
        <w:t>经营性公墓年检结果为合格、基本合格的，由市</w:t>
      </w:r>
      <w:r>
        <w:rPr>
          <w:rFonts w:hint="eastAsia" w:ascii="仿宋_GB2312" w:hAnsi="仿宋_GB2312" w:eastAsia="仿宋_GB2312" w:cs="仿宋_GB2312"/>
          <w:color w:val="auto"/>
          <w:kern w:val="2"/>
          <w:sz w:val="32"/>
          <w:szCs w:val="32"/>
          <w:lang w:val="en-US" w:eastAsia="zh-CN" w:bidi="ar-SA"/>
        </w:rPr>
        <w:t>（州）</w:t>
      </w:r>
      <w:r>
        <w:rPr>
          <w:rFonts w:hint="eastAsia" w:ascii="仿宋_GB2312" w:hAnsi="仿宋_GB2312" w:eastAsia="仿宋_GB2312" w:cs="仿宋_GB2312"/>
          <w:color w:val="auto"/>
          <w:sz w:val="32"/>
          <w:szCs w:val="32"/>
          <w:lang w:val="en-US" w:eastAsia="zh-CN"/>
        </w:rPr>
        <w:t>民政部门在</w:t>
      </w:r>
      <w:r>
        <w:rPr>
          <w:rFonts w:hint="default" w:ascii="Times New Roman" w:hAnsi="Times New Roman" w:eastAsia="仿宋_GB2312" w:cs="Times New Roman"/>
          <w:color w:val="auto"/>
          <w:sz w:val="32"/>
          <w:szCs w:val="32"/>
          <w:lang w:val="en-US" w:eastAsia="zh-CN"/>
        </w:rPr>
        <w:t>经营性公墓证书</w:t>
      </w:r>
      <w:r>
        <w:rPr>
          <w:rFonts w:hint="eastAsia" w:ascii="仿宋_GB2312" w:hAnsi="仿宋_GB2312" w:eastAsia="仿宋_GB2312" w:cs="仿宋_GB2312"/>
          <w:color w:val="auto"/>
          <w:sz w:val="32"/>
          <w:szCs w:val="32"/>
          <w:lang w:val="en-US" w:eastAsia="zh-CN"/>
        </w:rPr>
        <w:t>上注明年检结论并加盖公章。首次参加年检合格的、基本合格的，由市</w:t>
      </w:r>
      <w:r>
        <w:rPr>
          <w:rFonts w:hint="eastAsia" w:ascii="仿宋_GB2312" w:hAnsi="仿宋_GB2312" w:eastAsia="仿宋_GB2312" w:cs="仿宋_GB2312"/>
          <w:color w:val="auto"/>
          <w:kern w:val="2"/>
          <w:sz w:val="32"/>
          <w:szCs w:val="32"/>
          <w:lang w:val="en-US" w:eastAsia="zh-CN" w:bidi="ar-SA"/>
        </w:rPr>
        <w:t>（州）</w:t>
      </w:r>
      <w:r>
        <w:rPr>
          <w:rFonts w:hint="eastAsia" w:ascii="仿宋_GB2312" w:hAnsi="仿宋_GB2312" w:eastAsia="仿宋_GB2312" w:cs="仿宋_GB2312"/>
          <w:color w:val="auto"/>
          <w:sz w:val="32"/>
          <w:szCs w:val="32"/>
          <w:lang w:val="en-US" w:eastAsia="zh-CN"/>
        </w:rPr>
        <w:t>民政部门颁发</w:t>
      </w:r>
      <w:r>
        <w:rPr>
          <w:rFonts w:hint="default" w:ascii="Times New Roman" w:hAnsi="Times New Roman" w:eastAsia="仿宋_GB2312" w:cs="Times New Roman"/>
          <w:color w:val="auto"/>
          <w:sz w:val="32"/>
          <w:szCs w:val="32"/>
          <w:lang w:val="en-US" w:eastAsia="zh-CN"/>
        </w:rPr>
        <w:t>经营性公墓证书</w:t>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 xml:space="preserve">第二十四条  </w:t>
      </w:r>
      <w:r>
        <w:rPr>
          <w:rFonts w:hint="eastAsia" w:ascii="仿宋_GB2312" w:hAnsi="仿宋_GB2312" w:eastAsia="仿宋_GB2312" w:cs="仿宋_GB2312"/>
          <w:color w:val="auto"/>
          <w:sz w:val="32"/>
          <w:szCs w:val="32"/>
          <w:lang w:val="en-US" w:eastAsia="zh-CN"/>
        </w:rPr>
        <w:t>经营性公墓年检结果为基本合格的，由市</w:t>
      </w:r>
      <w:r>
        <w:rPr>
          <w:rFonts w:hint="eastAsia" w:ascii="仿宋_GB2312" w:hAnsi="仿宋_GB2312" w:eastAsia="仿宋_GB2312" w:cs="仿宋_GB2312"/>
          <w:color w:val="auto"/>
          <w:kern w:val="2"/>
          <w:sz w:val="32"/>
          <w:szCs w:val="32"/>
          <w:lang w:val="en-US" w:eastAsia="zh-CN" w:bidi="ar-SA"/>
        </w:rPr>
        <w:t>（州）</w:t>
      </w:r>
      <w:r>
        <w:rPr>
          <w:rFonts w:hint="eastAsia" w:ascii="仿宋_GB2312" w:hAnsi="仿宋_GB2312" w:eastAsia="仿宋_GB2312" w:cs="仿宋_GB2312"/>
          <w:color w:val="auto"/>
          <w:sz w:val="32"/>
          <w:szCs w:val="32"/>
          <w:lang w:val="en-US" w:eastAsia="zh-CN"/>
        </w:rPr>
        <w:t>民政部门针对性提出整改建议，明确整改时限和要求。</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第二十五条  </w:t>
      </w:r>
      <w:r>
        <w:rPr>
          <w:rFonts w:hint="eastAsia" w:ascii="仿宋_GB2312" w:hAnsi="仿宋_GB2312" w:eastAsia="仿宋_GB2312" w:cs="仿宋_GB2312"/>
          <w:color w:val="auto"/>
          <w:sz w:val="32"/>
          <w:szCs w:val="32"/>
          <w:lang w:val="en-US" w:eastAsia="zh-CN"/>
        </w:rPr>
        <w:t>经营性公墓年检结果为不合格的暂缓签章，责令停止销售墓位并限期整改，6个月内完成整改后组织相关部门对整改结果进行复评。</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第二十六条  </w:t>
      </w:r>
      <w:r>
        <w:rPr>
          <w:rFonts w:hint="eastAsia" w:ascii="仿宋_GB2312" w:hAnsi="仿宋_GB2312" w:eastAsia="仿宋_GB2312" w:cs="仿宋_GB2312"/>
          <w:color w:val="auto"/>
          <w:sz w:val="32"/>
          <w:szCs w:val="32"/>
          <w:lang w:val="en-US" w:eastAsia="zh-CN"/>
        </w:rPr>
        <w:t>对拒不整改或复评结果仍不符合年检要求的，民政部门联合相关部门按规定作出处罚，视情将违规失信情况纳入企业经营异常名录或全国信用信息共享平台公布。涉嫌违法犯罪的，移交有关部门，按照法律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jc w:val="center"/>
        <w:textAlignment w:val="auto"/>
        <w:rPr>
          <w:rFonts w:hint="eastAsia" w:ascii="楷体_GB2312" w:hAnsi="楷体_GB2312" w:eastAsia="楷体_GB2312" w:cs="楷体_GB2312"/>
          <w:b/>
          <w:bCs/>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第八章  备案公告</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第二十七条  </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kern w:val="2"/>
          <w:sz w:val="32"/>
          <w:szCs w:val="32"/>
          <w:lang w:val="en-US" w:eastAsia="zh-CN" w:bidi="ar-SA"/>
        </w:rPr>
        <w:t>（州）</w:t>
      </w:r>
      <w:r>
        <w:rPr>
          <w:rFonts w:hint="eastAsia" w:ascii="仿宋_GB2312" w:hAnsi="仿宋_GB2312" w:eastAsia="仿宋_GB2312" w:cs="仿宋_GB2312"/>
          <w:color w:val="auto"/>
          <w:sz w:val="32"/>
          <w:szCs w:val="32"/>
          <w:lang w:val="en-US" w:eastAsia="zh-CN"/>
        </w:rPr>
        <w:t>民政部门在年检工作结束后，应当将本行政区域开展经营性公墓年检的情况总结及年检结果于每年7</w:t>
      </w:r>
      <w:r>
        <w:rPr>
          <w:rFonts w:hint="default" w:ascii="仿宋_GB2312" w:hAnsi="仿宋_GB2312" w:eastAsia="仿宋_GB2312" w:cs="仿宋_GB2312"/>
          <w:color w:val="auto"/>
          <w:sz w:val="32"/>
          <w:szCs w:val="32"/>
          <w:lang w:val="en-US" w:eastAsia="zh-CN"/>
        </w:rPr>
        <w:t>月底</w:t>
      </w:r>
      <w:r>
        <w:rPr>
          <w:rFonts w:hint="eastAsia" w:ascii="仿宋_GB2312" w:hAnsi="仿宋_GB2312" w:eastAsia="仿宋_GB2312" w:cs="仿宋_GB2312"/>
          <w:color w:val="auto"/>
          <w:sz w:val="32"/>
          <w:szCs w:val="32"/>
          <w:lang w:val="en-US" w:eastAsia="zh-CN"/>
        </w:rPr>
        <w:t>报省民政厅备案。</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第二十八条  </w:t>
      </w:r>
      <w:r>
        <w:rPr>
          <w:rFonts w:hint="eastAsia" w:ascii="仿宋_GB2312" w:hAnsi="仿宋_GB2312" w:eastAsia="仿宋_GB2312" w:cs="仿宋_GB2312"/>
          <w:color w:val="auto"/>
          <w:kern w:val="2"/>
          <w:sz w:val="32"/>
          <w:szCs w:val="32"/>
          <w:lang w:val="en-US" w:eastAsia="zh-CN" w:bidi="ar-SA"/>
        </w:rPr>
        <w:t>市（州）民政部门</w:t>
      </w:r>
      <w:r>
        <w:rPr>
          <w:rFonts w:hint="eastAsia" w:ascii="仿宋_GB2312" w:hAnsi="仿宋_GB2312" w:eastAsia="仿宋_GB2312" w:cs="仿宋_GB2312"/>
          <w:color w:val="auto"/>
          <w:sz w:val="32"/>
          <w:szCs w:val="32"/>
          <w:lang w:val="en-US" w:eastAsia="zh-CN"/>
        </w:rPr>
        <w:t>应采取书面通报、宣传公告、媒体刊播等多种方式向社会公开经营性公墓年检结果。公开的内容应该至少包括经营性公墓的名称、地址、法定代表人、年检结论等。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第九章  监督检查</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 xml:space="preserve">第二十九条  </w:t>
      </w:r>
      <w:r>
        <w:rPr>
          <w:rFonts w:hint="eastAsia" w:ascii="仿宋_GB2312" w:hAnsi="仿宋_GB2312" w:eastAsia="仿宋_GB2312" w:cs="仿宋_GB2312"/>
          <w:color w:val="auto"/>
          <w:sz w:val="32"/>
          <w:szCs w:val="32"/>
          <w:lang w:val="en-US" w:eastAsia="zh-CN"/>
        </w:rPr>
        <w:t>各级民政部门应坚持实事求是、客观公正，认真负责做好年检和确定结论等工作。</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第三十条  </w:t>
      </w:r>
      <w:r>
        <w:rPr>
          <w:rFonts w:hint="eastAsia" w:ascii="仿宋_GB2312" w:hAnsi="仿宋_GB2312" w:eastAsia="仿宋_GB2312" w:cs="仿宋_GB2312"/>
          <w:color w:val="auto"/>
          <w:sz w:val="32"/>
          <w:szCs w:val="32"/>
          <w:lang w:val="en-US" w:eastAsia="zh-CN"/>
        </w:rPr>
        <w:t>各经营性公墓应如实报送相关材料，积极配合民政部门开展年检工作。</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42" w:firstLineChars="200"/>
        <w:jc w:val="left"/>
        <w:textAlignment w:val="auto"/>
        <w:rPr>
          <w:rFonts w:hint="eastAsia" w:ascii="黑体" w:hAnsi="黑体" w:eastAsia="黑体" w:cs="黑体"/>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第三十一条  </w:t>
      </w:r>
      <w:r>
        <w:rPr>
          <w:rFonts w:hint="eastAsia" w:ascii="Times New Roman" w:hAnsi="Times New Roman" w:eastAsia="仿宋_GB2312" w:cs="Times New Roman"/>
          <w:color w:val="auto"/>
          <w:sz w:val="32"/>
          <w:szCs w:val="32"/>
          <w:lang w:val="en-US" w:eastAsia="zh-CN"/>
        </w:rPr>
        <w:t>各部门相关人员在</w:t>
      </w:r>
      <w:r>
        <w:rPr>
          <w:rFonts w:hint="default" w:ascii="Times New Roman" w:hAnsi="Times New Roman" w:eastAsia="仿宋_GB2312" w:cs="Times New Roman"/>
          <w:color w:val="auto"/>
          <w:sz w:val="32"/>
          <w:szCs w:val="32"/>
        </w:rPr>
        <w:t>年检工作中，应当依法行政，不得滥用职权、徇私舞弊。</w:t>
      </w: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第十章  附则</w:t>
      </w:r>
    </w:p>
    <w:p>
      <w:pPr>
        <w:pStyle w:val="2"/>
        <w:keepNext w:val="0"/>
        <w:keepLines w:val="0"/>
        <w:pageBreakBefore w:val="0"/>
        <w:kinsoku/>
        <w:wordWrap/>
        <w:overflowPunct/>
        <w:topLinePunct w:val="0"/>
        <w:autoSpaceDE/>
        <w:autoSpaceDN/>
        <w:bidi w:val="0"/>
        <w:adjustRightInd/>
        <w:snapToGrid/>
        <w:spacing w:line="576" w:lineRule="exact"/>
        <w:ind w:left="0" w:leftChars="0" w:firstLine="642"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 xml:space="preserve">第三十二条  </w:t>
      </w:r>
      <w:r>
        <w:rPr>
          <w:rFonts w:hint="eastAsia" w:ascii="仿宋_GB2312" w:hAnsi="仿宋_GB2312" w:eastAsia="仿宋_GB2312" w:cs="仿宋_GB2312"/>
          <w:color w:val="auto"/>
          <w:kern w:val="2"/>
          <w:sz w:val="32"/>
          <w:szCs w:val="32"/>
          <w:lang w:val="en-US" w:eastAsia="zh-CN" w:bidi="ar-SA"/>
        </w:rPr>
        <w:t>各市（州）民政局可结合本地实际，制定或细化年检工作实施办法或细则。</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 xml:space="preserve">第三十三条  </w:t>
      </w:r>
      <w:r>
        <w:rPr>
          <w:rFonts w:hint="eastAsia" w:ascii="仿宋_GB2312" w:hAnsi="仿宋_GB2312" w:eastAsia="仿宋_GB2312" w:cs="仿宋_GB2312"/>
          <w:color w:val="auto"/>
          <w:kern w:val="2"/>
          <w:sz w:val="32"/>
          <w:szCs w:val="32"/>
          <w:lang w:val="en-US" w:eastAsia="zh-CN" w:bidi="ar-SA"/>
        </w:rPr>
        <w:t>各</w:t>
      </w:r>
      <w:r>
        <w:rPr>
          <w:rFonts w:hint="default"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val="en-US" w:eastAsia="zh-CN"/>
        </w:rPr>
        <w:t>（市、区）</w:t>
      </w:r>
      <w:r>
        <w:rPr>
          <w:rFonts w:hint="default" w:ascii="仿宋_GB2312" w:hAnsi="仿宋_GB2312" w:eastAsia="仿宋_GB2312" w:cs="仿宋_GB2312"/>
          <w:color w:val="auto"/>
          <w:sz w:val="32"/>
          <w:szCs w:val="32"/>
          <w:lang w:val="en-US" w:eastAsia="zh-CN"/>
        </w:rPr>
        <w:t>民政</w:t>
      </w:r>
      <w:r>
        <w:rPr>
          <w:rFonts w:hint="eastAsia" w:ascii="仿宋_GB2312" w:hAnsi="仿宋_GB2312" w:eastAsia="仿宋_GB2312" w:cs="仿宋_GB2312"/>
          <w:color w:val="auto"/>
          <w:kern w:val="2"/>
          <w:sz w:val="32"/>
          <w:szCs w:val="32"/>
          <w:lang w:val="en-US" w:eastAsia="zh-CN" w:bidi="ar-SA"/>
        </w:rPr>
        <w:t>局</w:t>
      </w:r>
      <w:r>
        <w:rPr>
          <w:rFonts w:hint="eastAsia" w:ascii="仿宋_GB2312" w:hAnsi="仿宋_GB2312" w:eastAsia="仿宋_GB2312" w:cs="仿宋_GB2312"/>
          <w:color w:val="auto"/>
          <w:sz w:val="32"/>
          <w:szCs w:val="32"/>
          <w:lang w:val="en-US" w:eastAsia="zh-CN"/>
        </w:rPr>
        <w:t>要</w:t>
      </w:r>
      <w:r>
        <w:rPr>
          <w:rFonts w:hint="default" w:ascii="仿宋_GB2312" w:hAnsi="仿宋_GB2312" w:eastAsia="仿宋_GB2312" w:cs="仿宋_GB2312"/>
          <w:color w:val="auto"/>
          <w:sz w:val="32"/>
          <w:szCs w:val="32"/>
          <w:lang w:val="en-US" w:eastAsia="zh-CN"/>
        </w:rPr>
        <w:t>加强对</w:t>
      </w:r>
      <w:r>
        <w:rPr>
          <w:rFonts w:hint="eastAsia" w:ascii="仿宋_GB2312" w:hAnsi="仿宋_GB2312" w:eastAsia="仿宋_GB2312" w:cs="仿宋_GB2312"/>
          <w:color w:val="auto"/>
          <w:kern w:val="2"/>
          <w:sz w:val="32"/>
          <w:szCs w:val="32"/>
          <w:lang w:val="en-US" w:eastAsia="zh-CN" w:bidi="ar-SA"/>
        </w:rPr>
        <w:t>本行政区域</w:t>
      </w:r>
      <w:r>
        <w:rPr>
          <w:rFonts w:hint="eastAsia" w:ascii="仿宋_GB2312" w:hAnsi="仿宋_GB2312" w:eastAsia="仿宋_GB2312" w:cs="仿宋_GB2312"/>
          <w:color w:val="auto"/>
          <w:sz w:val="32"/>
          <w:szCs w:val="32"/>
          <w:lang w:val="en-US" w:eastAsia="zh-CN"/>
        </w:rPr>
        <w:t>内</w:t>
      </w:r>
      <w:r>
        <w:rPr>
          <w:rFonts w:hint="default" w:ascii="仿宋_GB2312" w:hAnsi="仿宋_GB2312" w:eastAsia="仿宋_GB2312" w:cs="仿宋_GB2312"/>
          <w:color w:val="auto"/>
          <w:sz w:val="32"/>
          <w:szCs w:val="32"/>
          <w:lang w:val="en-US" w:eastAsia="zh-CN"/>
        </w:rPr>
        <w:t>农村公益性墓地的检查和监督管理</w:t>
      </w:r>
      <w:r>
        <w:rPr>
          <w:rFonts w:hint="eastAsia" w:ascii="仿宋_GB2312" w:hAnsi="仿宋_GB2312" w:eastAsia="仿宋_GB2312" w:cs="仿宋_GB2312"/>
          <w:color w:val="auto"/>
          <w:sz w:val="32"/>
          <w:szCs w:val="32"/>
          <w:lang w:val="en-US" w:eastAsia="zh-CN"/>
        </w:rPr>
        <w:t>，可参照开展</w:t>
      </w:r>
      <w:r>
        <w:rPr>
          <w:rFonts w:hint="default" w:ascii="仿宋_GB2312" w:hAnsi="仿宋_GB2312" w:eastAsia="仿宋_GB2312" w:cs="仿宋_GB2312"/>
          <w:color w:val="auto"/>
          <w:sz w:val="32"/>
          <w:szCs w:val="32"/>
          <w:lang w:val="en-US" w:eastAsia="zh-CN"/>
        </w:rPr>
        <w:t>农村公益性墓地</w:t>
      </w:r>
      <w:r>
        <w:rPr>
          <w:rFonts w:hint="eastAsia" w:ascii="仿宋_GB2312" w:hAnsi="仿宋_GB2312" w:eastAsia="仿宋_GB2312" w:cs="仿宋_GB2312"/>
          <w:color w:val="auto"/>
          <w:sz w:val="32"/>
          <w:szCs w:val="32"/>
          <w:lang w:val="en-US" w:eastAsia="zh-CN"/>
        </w:rPr>
        <w:t>年检工作。</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 xml:space="preserve">第三十四条  </w:t>
      </w:r>
      <w:r>
        <w:rPr>
          <w:rFonts w:hint="default"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val="en-US" w:eastAsia="zh-CN"/>
        </w:rPr>
        <w:t>规范</w:t>
      </w:r>
      <w:r>
        <w:rPr>
          <w:rFonts w:hint="default" w:ascii="仿宋_GB2312" w:hAnsi="仿宋_GB2312" w:eastAsia="仿宋_GB2312" w:cs="仿宋_GB2312"/>
          <w:color w:val="auto"/>
          <w:sz w:val="32"/>
          <w:szCs w:val="32"/>
          <w:lang w:val="en-US" w:eastAsia="zh-CN"/>
        </w:rPr>
        <w:t>自</w:t>
      </w:r>
      <w:r>
        <w:rPr>
          <w:rFonts w:hint="eastAsia" w:ascii="仿宋_GB2312" w:hAnsi="仿宋_GB2312" w:eastAsia="仿宋_GB2312" w:cs="仿宋_GB2312"/>
          <w:color w:val="auto"/>
          <w:sz w:val="32"/>
          <w:szCs w:val="32"/>
          <w:lang w:val="en-US" w:eastAsia="zh-CN"/>
        </w:rPr>
        <w:t>印发之日</w:t>
      </w:r>
      <w:r>
        <w:rPr>
          <w:rFonts w:hint="default" w:ascii="仿宋_GB2312" w:hAnsi="仿宋_GB2312" w:eastAsia="仿宋_GB2312" w:cs="仿宋_GB2312"/>
          <w:color w:val="auto"/>
          <w:sz w:val="32"/>
          <w:szCs w:val="32"/>
          <w:lang w:val="en-US" w:eastAsia="zh-CN"/>
        </w:rPr>
        <w:t>起施行</w:t>
      </w:r>
      <w:r>
        <w:rPr>
          <w:rFonts w:hint="eastAsia" w:ascii="仿宋_GB2312" w:hAnsi="仿宋_GB2312" w:eastAsia="仿宋_GB2312" w:cs="仿宋_GB2312"/>
          <w:color w:val="auto"/>
          <w:sz w:val="32"/>
          <w:szCs w:val="32"/>
          <w:lang w:val="en-US" w:eastAsia="zh-CN"/>
        </w:rPr>
        <w:t>，有效期5年。</w:t>
      </w:r>
    </w:p>
    <w:p>
      <w:pPr>
        <w:pStyle w:val="8"/>
        <w:keepNext w:val="0"/>
        <w:keepLines w:val="0"/>
        <w:pageBreakBefore w:val="0"/>
        <w:widowControl w:val="0"/>
        <w:kinsoku/>
        <w:wordWrap/>
        <w:overflowPunct/>
        <w:topLinePunct w:val="0"/>
        <w:autoSpaceDE/>
        <w:autoSpaceDN/>
        <w:bidi w:val="0"/>
        <w:adjustRightInd/>
        <w:snapToGrid/>
        <w:spacing w:before="0" w:after="0" w:line="576" w:lineRule="exact"/>
        <w:ind w:firstLine="642" w:firstLineChars="200"/>
        <w:jc w:val="left"/>
        <w:textAlignment w:val="auto"/>
        <w:rPr>
          <w:rFonts w:hint="default" w:ascii="Times New Roman" w:hAnsi="Times New Roman" w:eastAsia="仿宋_GB2312" w:cs="Times New Roman"/>
          <w:b w:val="0"/>
          <w:bCs w:val="0"/>
          <w:sz w:val="28"/>
          <w:szCs w:val="28"/>
          <w:lang w:val="en-US" w:eastAsia="zh-CN"/>
        </w:rPr>
      </w:pPr>
      <w:r>
        <w:rPr>
          <w:rFonts w:hint="eastAsia" w:ascii="楷体_GB2312" w:hAnsi="楷体_GB2312" w:eastAsia="楷体_GB2312" w:cs="楷体_GB2312"/>
          <w:b/>
          <w:bCs/>
          <w:color w:val="auto"/>
          <w:kern w:val="2"/>
          <w:sz w:val="32"/>
          <w:szCs w:val="32"/>
          <w:lang w:val="en-US" w:eastAsia="zh-CN" w:bidi="ar-SA"/>
        </w:rPr>
        <w:t xml:space="preserve">第三十五条  </w:t>
      </w:r>
      <w:r>
        <w:rPr>
          <w:rFonts w:hint="default"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val="en-US" w:eastAsia="zh-CN"/>
        </w:rPr>
        <w:t>规范</w:t>
      </w:r>
      <w:r>
        <w:rPr>
          <w:rFonts w:hint="default"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lang w:val="en-US" w:eastAsia="zh-CN"/>
        </w:rPr>
        <w:t>四川省民政厅</w:t>
      </w:r>
      <w:r>
        <w:rPr>
          <w:rFonts w:hint="default" w:ascii="仿宋_GB2312" w:hAnsi="仿宋_GB2312" w:eastAsia="仿宋_GB2312" w:cs="仿宋_GB2312"/>
          <w:color w:val="auto"/>
          <w:sz w:val="32"/>
          <w:szCs w:val="32"/>
          <w:lang w:val="en-US" w:eastAsia="zh-CN"/>
        </w:rPr>
        <w:t>负责解释。</w:t>
      </w:r>
      <w:bookmarkStart w:id="0" w:name="_GoBack"/>
      <w:bookmarkEnd w:id="0"/>
    </w:p>
    <w:sectPr>
      <w:footerReference r:id="rId3" w:type="default"/>
      <w:pgSz w:w="11906" w:h="16838"/>
      <w:pgMar w:top="2098" w:right="1474" w:bottom="1928" w:left="1587" w:header="283" w:footer="1417" w:gutter="0"/>
      <w:pgBorders>
        <w:top w:val="none" w:sz="0" w:space="0"/>
        <w:left w:val="none" w:sz="0" w:space="0"/>
        <w:bottom w:val="none" w:sz="0" w:space="0"/>
        <w:right w:val="none" w:sz="0" w:space="0"/>
      </w:pgBorders>
      <w:pgNumType w:fmt="decimal"/>
      <w:cols w:space="0" w:num="1"/>
      <w:rtlGutter w:val="0"/>
      <w:docGrid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nsolas">
    <w:altName w:val="Noto Sans Mono"/>
    <w:panose1 w:val="020B0609020204030204"/>
    <w:charset w:val="00"/>
    <w:family w:val="auto"/>
    <w:pitch w:val="default"/>
    <w:sig w:usb0="00000000" w:usb1="00000000" w:usb2="00000009" w:usb3="00000000" w:csb0="6000019F" w:csb1="DFD70000"/>
  </w:font>
  <w:font w:name="Verdana">
    <w:altName w:val="DejaVu Sans"/>
    <w:panose1 w:val="020B0604030504040204"/>
    <w:charset w:val="00"/>
    <w:family w:val="swiss"/>
    <w:pitch w:val="default"/>
    <w:sig w:usb0="00000000" w:usb1="00000000" w:usb2="00000010" w:usb3="00000000" w:csb0="2000019F" w:csb1="00000000"/>
  </w:font>
  <w:font w:name="font-weight : 400">
    <w:altName w:val="汉仪仿宋S"/>
    <w:panose1 w:val="00000000000000000000"/>
    <w:charset w:val="00"/>
    <w:family w:val="auto"/>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0"/>
      </w:numPr>
      <w:jc w:val="both"/>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320"/>
  <w:drawingGridVerticalSpacing w:val="9999999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5"/>
    <w:rsid w:val="00025FB5"/>
    <w:rsid w:val="000323E0"/>
    <w:rsid w:val="00035C8C"/>
    <w:rsid w:val="000448DD"/>
    <w:rsid w:val="00060EFF"/>
    <w:rsid w:val="000E5194"/>
    <w:rsid w:val="000F45DC"/>
    <w:rsid w:val="00107AB9"/>
    <w:rsid w:val="00110AC6"/>
    <w:rsid w:val="00116A37"/>
    <w:rsid w:val="00133145"/>
    <w:rsid w:val="0014231D"/>
    <w:rsid w:val="002024B5"/>
    <w:rsid w:val="002849A3"/>
    <w:rsid w:val="002C4FD1"/>
    <w:rsid w:val="002F7D7D"/>
    <w:rsid w:val="00434A76"/>
    <w:rsid w:val="00457FA8"/>
    <w:rsid w:val="00502EC8"/>
    <w:rsid w:val="0052316C"/>
    <w:rsid w:val="00547CBF"/>
    <w:rsid w:val="00567525"/>
    <w:rsid w:val="005921DE"/>
    <w:rsid w:val="005D0F23"/>
    <w:rsid w:val="00610C9F"/>
    <w:rsid w:val="00620560"/>
    <w:rsid w:val="006A6EF4"/>
    <w:rsid w:val="006B3EA5"/>
    <w:rsid w:val="006D507F"/>
    <w:rsid w:val="006F5F00"/>
    <w:rsid w:val="007331C4"/>
    <w:rsid w:val="00740A0B"/>
    <w:rsid w:val="00741C7D"/>
    <w:rsid w:val="007D5EEB"/>
    <w:rsid w:val="00836602"/>
    <w:rsid w:val="00850E10"/>
    <w:rsid w:val="00853C8E"/>
    <w:rsid w:val="008E7693"/>
    <w:rsid w:val="009157D4"/>
    <w:rsid w:val="00A14732"/>
    <w:rsid w:val="00A95C62"/>
    <w:rsid w:val="00B35390"/>
    <w:rsid w:val="00B42B4C"/>
    <w:rsid w:val="00BA5519"/>
    <w:rsid w:val="00BD6943"/>
    <w:rsid w:val="00BD71B4"/>
    <w:rsid w:val="00C26C61"/>
    <w:rsid w:val="00C439DA"/>
    <w:rsid w:val="00CC724F"/>
    <w:rsid w:val="00CD6D35"/>
    <w:rsid w:val="00D82657"/>
    <w:rsid w:val="00DC7CCC"/>
    <w:rsid w:val="00E026B7"/>
    <w:rsid w:val="00E30C66"/>
    <w:rsid w:val="00EC022F"/>
    <w:rsid w:val="00F14A18"/>
    <w:rsid w:val="00F53395"/>
    <w:rsid w:val="00FB3413"/>
    <w:rsid w:val="00FE607D"/>
    <w:rsid w:val="01633F0D"/>
    <w:rsid w:val="01DB482B"/>
    <w:rsid w:val="01DD71E4"/>
    <w:rsid w:val="021A1836"/>
    <w:rsid w:val="031957AC"/>
    <w:rsid w:val="04BF2E53"/>
    <w:rsid w:val="05C75FAC"/>
    <w:rsid w:val="064B44FA"/>
    <w:rsid w:val="07411D8E"/>
    <w:rsid w:val="07705F83"/>
    <w:rsid w:val="07CC5EAA"/>
    <w:rsid w:val="080E1D6A"/>
    <w:rsid w:val="08766EDC"/>
    <w:rsid w:val="08D3451D"/>
    <w:rsid w:val="09D91E89"/>
    <w:rsid w:val="09DB23E6"/>
    <w:rsid w:val="0A2A383A"/>
    <w:rsid w:val="0AB06520"/>
    <w:rsid w:val="0B372261"/>
    <w:rsid w:val="0B51612F"/>
    <w:rsid w:val="0B5B131C"/>
    <w:rsid w:val="0B9E0F25"/>
    <w:rsid w:val="0BBF7F0E"/>
    <w:rsid w:val="0C372EC3"/>
    <w:rsid w:val="0C797A99"/>
    <w:rsid w:val="0C8D6E84"/>
    <w:rsid w:val="0D1D5BD1"/>
    <w:rsid w:val="0D9724C7"/>
    <w:rsid w:val="0DC661E7"/>
    <w:rsid w:val="0E28758F"/>
    <w:rsid w:val="0F490482"/>
    <w:rsid w:val="0F622456"/>
    <w:rsid w:val="10396964"/>
    <w:rsid w:val="104C0B44"/>
    <w:rsid w:val="11BC36AE"/>
    <w:rsid w:val="12997415"/>
    <w:rsid w:val="13D71D3C"/>
    <w:rsid w:val="1405606A"/>
    <w:rsid w:val="14490588"/>
    <w:rsid w:val="154E094E"/>
    <w:rsid w:val="165874B6"/>
    <w:rsid w:val="16627E15"/>
    <w:rsid w:val="16907731"/>
    <w:rsid w:val="16BA3700"/>
    <w:rsid w:val="16FF607A"/>
    <w:rsid w:val="17934648"/>
    <w:rsid w:val="17AC5B71"/>
    <w:rsid w:val="185549C9"/>
    <w:rsid w:val="18C2325F"/>
    <w:rsid w:val="195113F3"/>
    <w:rsid w:val="19C66B97"/>
    <w:rsid w:val="1A0F3D17"/>
    <w:rsid w:val="1A3A2016"/>
    <w:rsid w:val="1A9C2F64"/>
    <w:rsid w:val="1AD7631E"/>
    <w:rsid w:val="1AF50B37"/>
    <w:rsid w:val="1BC140F9"/>
    <w:rsid w:val="1BF443B6"/>
    <w:rsid w:val="1C4A794C"/>
    <w:rsid w:val="1D443EDB"/>
    <w:rsid w:val="1D752F82"/>
    <w:rsid w:val="1DB5187A"/>
    <w:rsid w:val="1DFE2164"/>
    <w:rsid w:val="1E326827"/>
    <w:rsid w:val="1F1E5695"/>
    <w:rsid w:val="1F3B1598"/>
    <w:rsid w:val="203D124D"/>
    <w:rsid w:val="20872AA0"/>
    <w:rsid w:val="21231D28"/>
    <w:rsid w:val="218B5E18"/>
    <w:rsid w:val="21C92A92"/>
    <w:rsid w:val="22527823"/>
    <w:rsid w:val="22571228"/>
    <w:rsid w:val="22E53A8B"/>
    <w:rsid w:val="2311169A"/>
    <w:rsid w:val="23D2478A"/>
    <w:rsid w:val="24004899"/>
    <w:rsid w:val="25113EA1"/>
    <w:rsid w:val="25561EA7"/>
    <w:rsid w:val="255A2A82"/>
    <w:rsid w:val="257E5A5C"/>
    <w:rsid w:val="261E0E45"/>
    <w:rsid w:val="26433B80"/>
    <w:rsid w:val="272D0644"/>
    <w:rsid w:val="27D9141D"/>
    <w:rsid w:val="298F2242"/>
    <w:rsid w:val="29973426"/>
    <w:rsid w:val="29DB7870"/>
    <w:rsid w:val="29DF45A7"/>
    <w:rsid w:val="29E26290"/>
    <w:rsid w:val="2ACA029C"/>
    <w:rsid w:val="2B0973A2"/>
    <w:rsid w:val="2B353C3F"/>
    <w:rsid w:val="2C10705C"/>
    <w:rsid w:val="2DD813F7"/>
    <w:rsid w:val="2E381419"/>
    <w:rsid w:val="2EB76D56"/>
    <w:rsid w:val="2ED97183"/>
    <w:rsid w:val="2FE30EBC"/>
    <w:rsid w:val="307B4FCC"/>
    <w:rsid w:val="30E3690F"/>
    <w:rsid w:val="32077D77"/>
    <w:rsid w:val="321B4F90"/>
    <w:rsid w:val="327A6EFF"/>
    <w:rsid w:val="32BA49A4"/>
    <w:rsid w:val="32FD1547"/>
    <w:rsid w:val="331A7375"/>
    <w:rsid w:val="333F0E47"/>
    <w:rsid w:val="35066725"/>
    <w:rsid w:val="350B3D54"/>
    <w:rsid w:val="354F1A4F"/>
    <w:rsid w:val="36921B2D"/>
    <w:rsid w:val="36B82C98"/>
    <w:rsid w:val="37164C56"/>
    <w:rsid w:val="375D0F3D"/>
    <w:rsid w:val="37E36482"/>
    <w:rsid w:val="38270D32"/>
    <w:rsid w:val="38410C49"/>
    <w:rsid w:val="389241DF"/>
    <w:rsid w:val="38CF7439"/>
    <w:rsid w:val="38EC2CBF"/>
    <w:rsid w:val="39312882"/>
    <w:rsid w:val="396306E3"/>
    <w:rsid w:val="3A167D34"/>
    <w:rsid w:val="3AC52F15"/>
    <w:rsid w:val="3AD30D8A"/>
    <w:rsid w:val="3BEF6BD1"/>
    <w:rsid w:val="3CFB1F3A"/>
    <w:rsid w:val="3D493B63"/>
    <w:rsid w:val="3DC01516"/>
    <w:rsid w:val="3E385DF2"/>
    <w:rsid w:val="3E5838D2"/>
    <w:rsid w:val="3EE216F5"/>
    <w:rsid w:val="3EF72E39"/>
    <w:rsid w:val="3F054E17"/>
    <w:rsid w:val="3F6F3BB0"/>
    <w:rsid w:val="3F76634C"/>
    <w:rsid w:val="408C13D6"/>
    <w:rsid w:val="41EC6248"/>
    <w:rsid w:val="421E026C"/>
    <w:rsid w:val="446B3DD5"/>
    <w:rsid w:val="45E84FAD"/>
    <w:rsid w:val="46146CA5"/>
    <w:rsid w:val="46542634"/>
    <w:rsid w:val="48B45FC4"/>
    <w:rsid w:val="48EF4E90"/>
    <w:rsid w:val="49C96F0B"/>
    <w:rsid w:val="4A502366"/>
    <w:rsid w:val="4A5356D0"/>
    <w:rsid w:val="4AAD6F10"/>
    <w:rsid w:val="4B3070AF"/>
    <w:rsid w:val="4B9622BA"/>
    <w:rsid w:val="4BA6446A"/>
    <w:rsid w:val="4BBA0314"/>
    <w:rsid w:val="4E9A53BD"/>
    <w:rsid w:val="4FF36E1B"/>
    <w:rsid w:val="5141089C"/>
    <w:rsid w:val="51653844"/>
    <w:rsid w:val="51690E2B"/>
    <w:rsid w:val="51A44E74"/>
    <w:rsid w:val="522E7014"/>
    <w:rsid w:val="52865135"/>
    <w:rsid w:val="53253DBE"/>
    <w:rsid w:val="533C7A2F"/>
    <w:rsid w:val="53BA2EF7"/>
    <w:rsid w:val="53BE7A14"/>
    <w:rsid w:val="53D521FE"/>
    <w:rsid w:val="547579B9"/>
    <w:rsid w:val="551F4FEE"/>
    <w:rsid w:val="555E79A0"/>
    <w:rsid w:val="55DA5A2B"/>
    <w:rsid w:val="56C828AF"/>
    <w:rsid w:val="570A088B"/>
    <w:rsid w:val="576A72E2"/>
    <w:rsid w:val="57A53446"/>
    <w:rsid w:val="57CF362E"/>
    <w:rsid w:val="57E44A2B"/>
    <w:rsid w:val="583710D4"/>
    <w:rsid w:val="588C3ED5"/>
    <w:rsid w:val="58902DA0"/>
    <w:rsid w:val="58E5667C"/>
    <w:rsid w:val="5966386C"/>
    <w:rsid w:val="59BB1833"/>
    <w:rsid w:val="59EB4685"/>
    <w:rsid w:val="5A715470"/>
    <w:rsid w:val="5A867099"/>
    <w:rsid w:val="5CBA5298"/>
    <w:rsid w:val="5D0E69F1"/>
    <w:rsid w:val="5D7C2EF8"/>
    <w:rsid w:val="5D8074A3"/>
    <w:rsid w:val="5E094B90"/>
    <w:rsid w:val="5EC32B61"/>
    <w:rsid w:val="603D7041"/>
    <w:rsid w:val="617722A4"/>
    <w:rsid w:val="62206D00"/>
    <w:rsid w:val="62223C56"/>
    <w:rsid w:val="624E10BB"/>
    <w:rsid w:val="62E861DB"/>
    <w:rsid w:val="63310FAF"/>
    <w:rsid w:val="634B35CF"/>
    <w:rsid w:val="635546E0"/>
    <w:rsid w:val="64300B97"/>
    <w:rsid w:val="6467091E"/>
    <w:rsid w:val="64E82D5C"/>
    <w:rsid w:val="6508523B"/>
    <w:rsid w:val="65C771F7"/>
    <w:rsid w:val="65CD1A5E"/>
    <w:rsid w:val="65D67117"/>
    <w:rsid w:val="66A5270F"/>
    <w:rsid w:val="670921B8"/>
    <w:rsid w:val="68791B1D"/>
    <w:rsid w:val="69502C73"/>
    <w:rsid w:val="69F94FCC"/>
    <w:rsid w:val="6B0D18BE"/>
    <w:rsid w:val="6B1A2DA0"/>
    <w:rsid w:val="6B585057"/>
    <w:rsid w:val="6BFB5575"/>
    <w:rsid w:val="6C597720"/>
    <w:rsid w:val="6CEB0F9D"/>
    <w:rsid w:val="6D064B91"/>
    <w:rsid w:val="6D2902FB"/>
    <w:rsid w:val="6DF2194B"/>
    <w:rsid w:val="6DF77AE7"/>
    <w:rsid w:val="6E255136"/>
    <w:rsid w:val="6E333C61"/>
    <w:rsid w:val="6E730E11"/>
    <w:rsid w:val="6F9D3380"/>
    <w:rsid w:val="6FA372BA"/>
    <w:rsid w:val="6FA8666F"/>
    <w:rsid w:val="701568B5"/>
    <w:rsid w:val="702A1833"/>
    <w:rsid w:val="707167ED"/>
    <w:rsid w:val="70C1018F"/>
    <w:rsid w:val="70C655B1"/>
    <w:rsid w:val="726E11FD"/>
    <w:rsid w:val="727550ED"/>
    <w:rsid w:val="729A28F8"/>
    <w:rsid w:val="73D25036"/>
    <w:rsid w:val="7450514E"/>
    <w:rsid w:val="74C317A7"/>
    <w:rsid w:val="74E26BDF"/>
    <w:rsid w:val="75F84B30"/>
    <w:rsid w:val="762A6CCE"/>
    <w:rsid w:val="78370EFE"/>
    <w:rsid w:val="785F58B5"/>
    <w:rsid w:val="78BB4F58"/>
    <w:rsid w:val="79DC3BD3"/>
    <w:rsid w:val="79F62218"/>
    <w:rsid w:val="7B083304"/>
    <w:rsid w:val="7B6C01B0"/>
    <w:rsid w:val="7B754309"/>
    <w:rsid w:val="7B791932"/>
    <w:rsid w:val="7BB76A52"/>
    <w:rsid w:val="7D4C78EB"/>
    <w:rsid w:val="7E671400"/>
    <w:rsid w:val="7EFF5594"/>
    <w:rsid w:val="7F1B6BBB"/>
    <w:rsid w:val="7F3249F6"/>
    <w:rsid w:val="AFF58988"/>
    <w:rsid w:val="B7BE939C"/>
    <w:rsid w:val="BAFFBC7A"/>
    <w:rsid w:val="DFDB19B6"/>
    <w:rsid w:val="EBEFBD97"/>
    <w:rsid w:val="FDDFC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Cs w:val="32"/>
    </w:rPr>
  </w:style>
  <w:style w:type="paragraph" w:styleId="5">
    <w:name w:val="heading 3"/>
    <w:basedOn w:val="1"/>
    <w:next w:val="1"/>
    <w:unhideWhenUsed/>
    <w:qFormat/>
    <w:uiPriority w:val="0"/>
    <w:pPr>
      <w:keepNext/>
      <w:keepLines/>
      <w:spacing w:before="260" w:after="260" w:line="416" w:lineRule="auto"/>
      <w:outlineLvl w:val="2"/>
    </w:pPr>
    <w:rPr>
      <w:b/>
      <w:bCs/>
      <w:szCs w:val="32"/>
    </w:rPr>
  </w:style>
  <w:style w:type="character" w:default="1" w:styleId="17">
    <w:name w:val="Default Paragraph Font"/>
    <w:link w:val="18"/>
    <w:unhideWhenUsed/>
    <w:qFormat/>
    <w:uiPriority w:val="1"/>
    <w:rPr>
      <w:szCs w:val="20"/>
    </w:rPr>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6">
    <w:name w:val="Normal Indent"/>
    <w:basedOn w:val="1"/>
    <w:qFormat/>
    <w:uiPriority w:val="0"/>
    <w:pPr>
      <w:ind w:firstLine="420" w:firstLineChars="200"/>
    </w:pPr>
  </w:style>
  <w:style w:type="paragraph" w:styleId="7">
    <w:name w:val="Body Text 3"/>
    <w:basedOn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仿宋_GB2312" w:cs="Times New Roman"/>
      <w:kern w:val="2"/>
      <w:sz w:val="16"/>
      <w:szCs w:val="24"/>
      <w:lang w:val="en-US" w:eastAsia="zh-CN" w:bidi="ar"/>
    </w:rPr>
  </w:style>
  <w:style w:type="paragraph" w:styleId="8">
    <w:name w:val="Body Text"/>
    <w:basedOn w:val="1"/>
    <w:next w:val="9"/>
    <w:qFormat/>
    <w:uiPriority w:val="0"/>
    <w:pPr>
      <w:spacing w:line="560" w:lineRule="exact"/>
      <w:ind w:firstLine="480" w:firstLineChars="200"/>
    </w:pPr>
    <w:rPr>
      <w:rFonts w:ascii="Times New Roman" w:hAnsi="Times New Roman" w:eastAsia="仿宋_GB2312"/>
      <w:sz w:val="28"/>
    </w:rPr>
  </w:style>
  <w:style w:type="paragraph" w:styleId="9">
    <w:name w:val="header"/>
    <w:basedOn w:val="1"/>
    <w:next w:val="1"/>
    <w:link w:val="31"/>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0">
    <w:name w:val="Body Text Indent"/>
    <w:basedOn w:val="1"/>
    <w:unhideWhenUsed/>
    <w:qFormat/>
    <w:uiPriority w:val="99"/>
    <w:pPr>
      <w:ind w:firstLine="632" w:firstLineChars="200"/>
    </w:pPr>
    <w:rPr>
      <w:rFonts w:eastAsia="仿宋_GB2312"/>
    </w:rPr>
  </w:style>
  <w:style w:type="paragraph" w:styleId="11">
    <w:name w:val="Balloon Text"/>
    <w:basedOn w:val="1"/>
    <w:link w:val="34"/>
    <w:unhideWhenUsed/>
    <w:qFormat/>
    <w:uiPriority w:val="99"/>
    <w:rPr>
      <w:sz w:val="18"/>
      <w:szCs w:val="18"/>
    </w:rPr>
  </w:style>
  <w:style w:type="paragraph" w:styleId="12">
    <w:name w:val="footer"/>
    <w:basedOn w:val="1"/>
    <w:link w:val="33"/>
    <w:qFormat/>
    <w:uiPriority w:val="99"/>
    <w:pPr>
      <w:tabs>
        <w:tab w:val="center" w:pos="4153"/>
        <w:tab w:val="right" w:pos="8306"/>
      </w:tabs>
      <w:snapToGrid w:val="0"/>
      <w:jc w:val="left"/>
    </w:pPr>
    <w:rPr>
      <w:sz w:val="18"/>
      <w:szCs w:val="18"/>
    </w:rPr>
  </w:style>
  <w:style w:type="paragraph" w:styleId="13">
    <w:name w:val="Normal (Web)"/>
    <w:basedOn w:val="1"/>
    <w:qFormat/>
    <w:uiPriority w:val="0"/>
    <w:pPr>
      <w:widowControl/>
      <w:jc w:val="left"/>
    </w:pPr>
    <w:rPr>
      <w:rFonts w:ascii="仿宋" w:hAnsi="宋体" w:eastAsia="仿宋" w:cs="宋体"/>
      <w:color w:val="000000"/>
      <w:kern w:val="0"/>
      <w:sz w:val="21"/>
      <w:szCs w:val="32"/>
    </w:rPr>
  </w:style>
  <w:style w:type="paragraph" w:styleId="14">
    <w:name w:val="Body Text First Indent 2"/>
    <w:basedOn w:val="10"/>
    <w:qFormat/>
    <w:uiPriority w:val="99"/>
    <w:pPr>
      <w:ind w:firstLine="420" w:firstLineChars="200"/>
    </w:pPr>
    <w:rPr>
      <w:rFonts w:ascii="Calibri" w:hAnsi="Calibri"/>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4"/>
    <w:basedOn w:val="1"/>
    <w:link w:val="17"/>
    <w:qFormat/>
    <w:uiPriority w:val="0"/>
    <w:pPr>
      <w:widowControl/>
      <w:spacing w:after="160" w:line="240" w:lineRule="exact"/>
      <w:jc w:val="left"/>
    </w:pPr>
    <w:rPr>
      <w:rFonts w:ascii="Calibri" w:hAnsi="Calibri" w:eastAsia="仿宋_GB2312"/>
      <w:szCs w:val="20"/>
    </w:rPr>
  </w:style>
  <w:style w:type="character" w:styleId="19">
    <w:name w:val="Strong"/>
    <w:basedOn w:val="17"/>
    <w:qFormat/>
    <w:uiPriority w:val="0"/>
    <w:rPr>
      <w:b/>
      <w:bCs/>
    </w:rPr>
  </w:style>
  <w:style w:type="character" w:styleId="20">
    <w:name w:val="page number"/>
    <w:basedOn w:val="17"/>
    <w:unhideWhenUsed/>
    <w:qFormat/>
    <w:uiPriority w:val="99"/>
  </w:style>
  <w:style w:type="character" w:styleId="21">
    <w:name w:val="FollowedHyperlink"/>
    <w:basedOn w:val="17"/>
    <w:unhideWhenUsed/>
    <w:qFormat/>
    <w:uiPriority w:val="99"/>
    <w:rPr>
      <w:color w:val="428BCA"/>
      <w:u w:val="none"/>
    </w:rPr>
  </w:style>
  <w:style w:type="character" w:styleId="22">
    <w:name w:val="Emphasis"/>
    <w:basedOn w:val="17"/>
    <w:qFormat/>
    <w:uiPriority w:val="20"/>
    <w:rPr>
      <w:i/>
      <w:iCs/>
    </w:rPr>
  </w:style>
  <w:style w:type="character" w:styleId="23">
    <w:name w:val="Hyperlink"/>
    <w:basedOn w:val="17"/>
    <w:qFormat/>
    <w:uiPriority w:val="0"/>
    <w:rPr>
      <w:color w:val="0000FF"/>
      <w:u w:val="single"/>
    </w:rPr>
  </w:style>
  <w:style w:type="character" w:styleId="24">
    <w:name w:val="HTML Code"/>
    <w:basedOn w:val="17"/>
    <w:unhideWhenUsed/>
    <w:qFormat/>
    <w:uiPriority w:val="99"/>
    <w:rPr>
      <w:rFonts w:ascii="Consolas" w:hAnsi="Consolas" w:eastAsia="Consolas" w:cs="Consolas"/>
      <w:color w:val="DD1144"/>
      <w:sz w:val="18"/>
      <w:szCs w:val="18"/>
      <w:bdr w:val="single" w:color="E1E1E8" w:sz="6" w:space="0"/>
      <w:shd w:val="clear" w:fill="F7F7F9"/>
    </w:rPr>
  </w:style>
  <w:style w:type="character" w:styleId="25">
    <w:name w:val="HTML Cite"/>
    <w:basedOn w:val="17"/>
    <w:unhideWhenUsed/>
    <w:qFormat/>
    <w:uiPriority w:val="99"/>
  </w:style>
  <w:style w:type="paragraph" w:customStyle="1" w:styleId="26">
    <w:name w:val=" Char Char Char Char Char Char Char Char Char Char Char Char Char Char Char Char"/>
    <w:basedOn w:val="1"/>
    <w:link w:val="17"/>
    <w:qFormat/>
    <w:uiPriority w:val="0"/>
    <w:pPr>
      <w:widowControl/>
      <w:spacing w:after="160" w:line="240" w:lineRule="exact"/>
      <w:jc w:val="left"/>
    </w:pPr>
  </w:style>
  <w:style w:type="paragraph" w:customStyle="1" w:styleId="27">
    <w:name w:val="Char Char Char Char Char Char Char Char Char Char"/>
    <w:basedOn w:val="1"/>
    <w:link w:val="17"/>
    <w:qFormat/>
    <w:uiPriority w:val="0"/>
    <w:pPr>
      <w:widowControl/>
      <w:spacing w:after="160" w:line="240" w:lineRule="exact"/>
      <w:jc w:val="left"/>
    </w:pPr>
    <w:rPr>
      <w:szCs w:val="20"/>
    </w:rPr>
  </w:style>
  <w:style w:type="paragraph" w:customStyle="1" w:styleId="28">
    <w:name w:val=" Char Char"/>
    <w:basedOn w:val="1"/>
    <w:link w:val="17"/>
    <w:qFormat/>
    <w:uiPriority w:val="0"/>
    <w:pPr>
      <w:widowControl/>
      <w:spacing w:after="160" w:line="240" w:lineRule="exact"/>
      <w:jc w:val="left"/>
    </w:pPr>
    <w:rPr>
      <w:szCs w:val="20"/>
    </w:rPr>
  </w:style>
  <w:style w:type="paragraph" w:customStyle="1" w:styleId="29">
    <w:name w:val=" Char Char3 Char Char"/>
    <w:basedOn w:val="1"/>
    <w:link w:val="17"/>
    <w:qFormat/>
    <w:uiPriority w:val="0"/>
    <w:pPr>
      <w:widowControl/>
      <w:spacing w:after="160" w:line="240" w:lineRule="exact"/>
      <w:jc w:val="left"/>
    </w:pPr>
    <w:rPr>
      <w:rFonts w:eastAsia="宋体"/>
      <w:kern w:val="0"/>
      <w:sz w:val="21"/>
      <w:szCs w:val="20"/>
    </w:rPr>
  </w:style>
  <w:style w:type="paragraph" w:customStyle="1" w:styleId="30">
    <w:name w:val="Char1 Char Char Char"/>
    <w:basedOn w:val="1"/>
    <w:link w:val="17"/>
    <w:qFormat/>
    <w:uiPriority w:val="0"/>
    <w:pPr>
      <w:widowControl/>
      <w:spacing w:after="160" w:line="240" w:lineRule="exact"/>
      <w:jc w:val="left"/>
    </w:pPr>
    <w:rPr>
      <w:rFonts w:ascii="Verdana" w:hAnsi="Verdana" w:eastAsia="仿宋_GB2312" w:cs="Verdana"/>
      <w:kern w:val="0"/>
      <w:sz w:val="30"/>
      <w:szCs w:val="30"/>
      <w:lang w:eastAsia="en-US"/>
    </w:rPr>
  </w:style>
  <w:style w:type="character" w:customStyle="1" w:styleId="31">
    <w:name w:val="页眉 Char"/>
    <w:link w:val="9"/>
    <w:qFormat/>
    <w:uiPriority w:val="0"/>
    <w:rPr>
      <w:rFonts w:eastAsia="仿宋_GB2312"/>
      <w:sz w:val="18"/>
      <w:szCs w:val="18"/>
    </w:rPr>
  </w:style>
  <w:style w:type="character" w:customStyle="1" w:styleId="32">
    <w:name w:val="页眉 Char1"/>
    <w:basedOn w:val="17"/>
    <w:semiHidden/>
    <w:qFormat/>
    <w:uiPriority w:val="99"/>
    <w:rPr>
      <w:rFonts w:ascii="Times New Roman" w:hAnsi="Times New Roman" w:eastAsia="仿宋_GB2312" w:cs="Times New Roman"/>
      <w:sz w:val="18"/>
      <w:szCs w:val="18"/>
    </w:rPr>
  </w:style>
  <w:style w:type="character" w:customStyle="1" w:styleId="33">
    <w:name w:val="页脚 Char"/>
    <w:basedOn w:val="17"/>
    <w:link w:val="12"/>
    <w:qFormat/>
    <w:uiPriority w:val="99"/>
    <w:rPr>
      <w:rFonts w:ascii="Times New Roman" w:hAnsi="Times New Roman" w:eastAsia="仿宋_GB2312" w:cs="Times New Roman"/>
      <w:sz w:val="18"/>
      <w:szCs w:val="18"/>
    </w:rPr>
  </w:style>
  <w:style w:type="character" w:customStyle="1" w:styleId="34">
    <w:name w:val="批注框文本 Char"/>
    <w:basedOn w:val="17"/>
    <w:link w:val="11"/>
    <w:semiHidden/>
    <w:qFormat/>
    <w:uiPriority w:val="99"/>
    <w:rPr>
      <w:rFonts w:ascii="Times New Roman" w:hAnsi="Times New Roman" w:eastAsia="仿宋_GB2312" w:cs="Times New Roman"/>
      <w:sz w:val="18"/>
      <w:szCs w:val="18"/>
    </w:rPr>
  </w:style>
  <w:style w:type="character" w:customStyle="1" w:styleId="35">
    <w:name w:val="font21"/>
    <w:basedOn w:val="17"/>
    <w:qFormat/>
    <w:uiPriority w:val="0"/>
    <w:rPr>
      <w:rFonts w:hint="eastAsia" w:ascii="宋体" w:hAnsi="宋体" w:eastAsia="宋体" w:cs="宋体"/>
      <w:color w:val="000000"/>
      <w:sz w:val="28"/>
      <w:szCs w:val="28"/>
      <w:u w:val="none"/>
    </w:rPr>
  </w:style>
  <w:style w:type="character" w:customStyle="1" w:styleId="36">
    <w:name w:val="font131"/>
    <w:basedOn w:val="17"/>
    <w:qFormat/>
    <w:uiPriority w:val="0"/>
    <w:rPr>
      <w:rFonts w:ascii="font-weight : 400" w:hAnsi="font-weight : 400" w:eastAsia="font-weight : 400" w:cs="font-weight : 400"/>
      <w:color w:val="000000"/>
      <w:sz w:val="22"/>
      <w:szCs w:val="22"/>
      <w:u w:val="none"/>
    </w:rPr>
  </w:style>
  <w:style w:type="character" w:customStyle="1" w:styleId="37">
    <w:name w:val="font11"/>
    <w:basedOn w:val="17"/>
    <w:qFormat/>
    <w:uiPriority w:val="0"/>
    <w:rPr>
      <w:rFonts w:hint="eastAsia" w:ascii="仿宋_GB2312" w:eastAsia="仿宋_GB2312" w:cs="仿宋_GB2312"/>
      <w:b/>
      <w:color w:val="000000"/>
      <w:sz w:val="22"/>
      <w:szCs w:val="22"/>
      <w:u w:val="none"/>
    </w:rPr>
  </w:style>
  <w:style w:type="paragraph" w:customStyle="1" w:styleId="38">
    <w:name w:val="List Paragraph1"/>
    <w:basedOn w:val="1"/>
    <w:qFormat/>
    <w:uiPriority w:val="0"/>
    <w:pPr>
      <w:ind w:firstLine="420" w:firstLineChars="200"/>
    </w:pPr>
    <w:rPr>
      <w:rFonts w:ascii="Calibri" w:hAnsi="Calibri" w:eastAsia="宋体"/>
      <w:sz w:val="21"/>
      <w:szCs w:val="22"/>
    </w:rPr>
  </w:style>
  <w:style w:type="paragraph" w:customStyle="1" w:styleId="39">
    <w:name w:val="List Paragraph"/>
    <w:basedOn w:val="1"/>
    <w:qFormat/>
    <w:uiPriority w:val="34"/>
    <w:pPr>
      <w:ind w:firstLine="420" w:firstLineChars="200"/>
    </w:pPr>
  </w:style>
  <w:style w:type="paragraph" w:customStyle="1" w:styleId="40">
    <w:name w:val="正文 A"/>
    <w:qFormat/>
    <w:uiPriority w:val="0"/>
    <w:pPr>
      <w:widowControl w:val="0"/>
      <w:jc w:val="both"/>
    </w:pPr>
    <w:rPr>
      <w:rFonts w:ascii="Calibri" w:hAnsi="Calibri" w:eastAsia="Arial Unicode MS" w:cs="Arial Unicode MS"/>
      <w:color w:val="000000"/>
      <w:kern w:val="2"/>
      <w:sz w:val="21"/>
      <w:szCs w:val="21"/>
      <w:u w:val="none" w:color="000000"/>
      <w:lang w:val="en-US" w:eastAsia="zh-CN" w:bidi="ar-SA"/>
    </w:rPr>
  </w:style>
  <w:style w:type="paragraph" w:customStyle="1" w:styleId="41">
    <w:name w:val="_Style 9"/>
    <w:basedOn w:val="1"/>
    <w:next w:val="1"/>
    <w:qFormat/>
    <w:uiPriority w:val="0"/>
    <w:pPr>
      <w:pBdr>
        <w:bottom w:val="single" w:color="auto" w:sz="6" w:space="1"/>
      </w:pBdr>
      <w:jc w:val="center"/>
    </w:pPr>
    <w:rPr>
      <w:rFonts w:ascii="Arial" w:eastAsia="宋体"/>
      <w:vanish/>
      <w:sz w:val="16"/>
    </w:rPr>
  </w:style>
  <w:style w:type="character" w:customStyle="1" w:styleId="42">
    <w:name w:val="me_close"/>
    <w:basedOn w:val="17"/>
    <w:qFormat/>
    <w:uiPriority w:val="0"/>
    <w:rPr>
      <w:b/>
      <w:color w:val="FFFFFF"/>
      <w:sz w:val="18"/>
      <w:szCs w:val="18"/>
      <w:shd w:val="clear" w:fill="6843FF"/>
    </w:rPr>
  </w:style>
  <w:style w:type="character" w:customStyle="1" w:styleId="43">
    <w:name w:val="size"/>
    <w:basedOn w:val="17"/>
    <w:qFormat/>
    <w:uiPriority w:val="0"/>
    <w:rPr>
      <w:i/>
      <w:sz w:val="15"/>
      <w:szCs w:val="15"/>
    </w:rPr>
  </w:style>
  <w:style w:type="paragraph" w:customStyle="1" w:styleId="44">
    <w:name w:val="Body Text First Indent 2"/>
    <w:basedOn w:val="1"/>
    <w:next w:val="1"/>
    <w:qFormat/>
    <w:uiPriority w:val="0"/>
    <w:pPr>
      <w:spacing w:line="600" w:lineRule="atLeast"/>
      <w:ind w:firstLine="420" w:firstLineChars="200"/>
    </w:pPr>
    <w:rPr>
      <w:b/>
      <w:bCs/>
      <w:sz w:val="30"/>
      <w:szCs w:val="30"/>
    </w:rPr>
  </w:style>
  <w:style w:type="paragraph" w:customStyle="1" w:styleId="45">
    <w:name w:val="公文主体"/>
    <w:basedOn w:val="1"/>
    <w:qFormat/>
    <w:uiPriority w:val="0"/>
    <w:pPr>
      <w:spacing w:line="580" w:lineRule="exact"/>
      <w:ind w:firstLine="200" w:firstLineChars="200"/>
    </w:pPr>
    <w:rPr>
      <w:rFonts w:eastAsia="仿宋_GB2312"/>
      <w:sz w:val="32"/>
    </w:rPr>
  </w:style>
  <w:style w:type="paragraph" w:customStyle="1" w:styleId="46">
    <w:name w:val="一级标题"/>
    <w:basedOn w:val="45"/>
    <w:next w:val="45"/>
    <w:qFormat/>
    <w:uiPriority w:val="0"/>
    <w:pPr>
      <w:outlineLvl w:val="2"/>
    </w:pPr>
    <w:rPr>
      <w:rFonts w:eastAsia="黑体"/>
    </w:rPr>
  </w:style>
  <w:style w:type="character" w:customStyle="1" w:styleId="47">
    <w:name w:val="二级标题 Char"/>
    <w:link w:val="48"/>
    <w:qFormat/>
    <w:uiPriority w:val="0"/>
    <w:rPr>
      <w:rFonts w:eastAsia="楷体_GB2312"/>
    </w:rPr>
  </w:style>
  <w:style w:type="paragraph" w:customStyle="1" w:styleId="48">
    <w:name w:val="二级标题"/>
    <w:basedOn w:val="45"/>
    <w:next w:val="45"/>
    <w:link w:val="47"/>
    <w:qFormat/>
    <w:uiPriority w:val="0"/>
    <w:pPr>
      <w:outlineLvl w:val="3"/>
    </w:pPr>
    <w:rPr>
      <w:rFonts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DaDiGhost.Com</Company>
  <Pages>8</Pages>
  <Words>460</Words>
  <Characters>2628</Characters>
  <Lines>21</Lines>
  <Paragraphs>6</Paragraphs>
  <TotalTime>1</TotalTime>
  <ScaleCrop>false</ScaleCrop>
  <LinksUpToDate>false</LinksUpToDate>
  <CharactersWithSpaces>3082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2018-01-16T23:48:00Z</dcterms:created>
  <dc:creator>向玉丹</dc:creator>
  <cp:lastModifiedBy>熊亚飞</cp:lastModifiedBy>
  <cp:lastPrinted>2021-05-19T00:57:00Z</cp:lastPrinted>
  <dcterms:modified xsi:type="dcterms:W3CDTF">2022-05-26T10:10:58Z</dcterms:modified>
  <dc:title>四川省民政厅文件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9125EE802BFB4FC5B82DB083813020FF</vt:lpwstr>
  </property>
</Properties>
</file>